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information provided by the participant (Sample Specifications Questionnaire for the Participant, 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assessed with the ICD-11 screener,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SSQ-CF); since the Static-99 is only defined for hands-on offenders, the reduced Static-99 as mentioned by Seto et al. (2012) was used);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preserve">information provided by supervision officer (Sample Specifications Questionnaire for the SO, 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preserve">assessed with the PHQ-D.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ICD-11 = International Classification of Disease version 11,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2026-01-29T19:49:25Z</dcterms:created>
  <dcterms:modified xsi:type="dcterms:W3CDTF">2026-01-29T19:49:25Z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