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Secondary endpoint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Meaningful risk-factor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 (Motivation)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Corrections Victoria Treatment Readiness Questionnaire (CVTRQ)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Treatment readiness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Readiness to Change Questionnaire (RCQ)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Motivation to change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 (Supervision and Social Relationships)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Social Support Questionnaire (F-Soz-U)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Negative social influences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Optimized Questionnaire for the Measurement of Psychological Reactance (OQMPR)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Resistance to rules and supervision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University of California Los Angeles Loneliness Scale (UCLA)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Emotionally intimate relationships with adults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 (Emotion Management)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Barratt Impulsiveness Scale-15 (BIS-15)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(lifestyle) Impulsiveness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Coping Using Sex Inventory (CUSI)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Sexualized coping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Difficulties in Emotion Regulation Scale (DERS)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Subscale Impulsivity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Impulse control difficulties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Negative Affect Repair Questionnaire (NARQ)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Subscale Externalized Coping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External Coping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 (Problem Solving)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Social Problem-Solving Inventory Revised (SPSI-R)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Poor problem solving skills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 (Offense-Supportive Attitudes)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Bumby Molest Scale (BMS)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Offense-supportive attitudes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 (Sexuality Module)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Explicit Sexual Interest Questionnaire (ESIQ)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interest in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Outlet Inventory - Revised (SOI-R)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interest in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Specific self-efficacy for modifying Sexual Interest in Children (SSIC)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Self-Efficacy for Modifying Sexual Interest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Questionnaire on Emotional Congruence with Children-Revised (EKK-R)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Emotional congruence with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Hyper-sexualBehavior Inventory-19 (HBI-19)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preoccupation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Treatment readiness is not defined as a risk-factor in Seto et al. (2023) or Mann et al. (2010). Nevertheless, Treatment dropout is correleated with recidivism.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Motivation to change is not defined as a risk-factor in Seto et al. (2023) or Mann et al. (2010). Nevertheless, Treatment dropout is correleated with recidivism.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2026-01-30T09:27:29Z</dcterms:created>
  <dcterms:modified xsi:type="dcterms:W3CDTF">2026-01-30T09:27:29Z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