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(20 - 68)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(20 - 66)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(21 - 68)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Years of education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(4 - 21)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(7 - 21)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(4 - 20)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Highest education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formal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(7·7%)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(9·3%)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(6·2%)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Lower secondary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 secondary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Upper secondary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University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(7·2%)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(6·5%)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(8·0%)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Employment status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 education/training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(5·0%)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(4·4%)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Unskilled worker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Retired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(9·5%)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(6·5%)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Marital status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Single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Divorced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Widowed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Trans/Transsexual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Sexual orientation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Exclusively heterosexual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Predominantly heterosexual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(9·3%)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Predominantly homosexual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Exclusively homosexual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(5·0%)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(5·4%)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Asexual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Hands-on (at least one conviction §176ff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Hands-off (only §184b StGB)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(78%)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Low-medium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(82%)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Medium-high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Term of imprisonment (month)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(0 - 156)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(0 - 126)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(0 - 156)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 ordered by court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(45%)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Major depressive syndrome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(5·3%)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209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Other depressive syndromes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(9·0%)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(7·1%)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(93%)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Panic syndrome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(2·3%)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Other anxiety syndromes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Bulimia nervosa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Binge eating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(4·4%)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Alcohol syndrome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(5·0%)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(5·6%)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(4·4%)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Somatoform syndrome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(7·7%)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(7·4%)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(8·0%)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Psycho-social functioning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difficult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(62%)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Somewhat difficult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difficult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(9·3%)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Extremely difficult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6D30 Exhibitionistic disorder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6D31 Voyeuristic disorder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(2·3%)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(99%)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6D32 Pedophilic disorder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(3·2%)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(3·7%)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(2·7%)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(97%)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6D33 Coercive sexual sadism disorder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6D34 Frotteuristic disorder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6D35 Other paraphilic disorder (non-consenting)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(0·9%)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(Min - Max);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data extracted from case files by trained staff (Sample Specifications Questionnaire based on the Court File, SSQ-CF).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preserve">information provided by the participant (Sample Specifications Questionnaire for the Participant, SSQ-P).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preserve">assessed with the ICD-11 screener, a self-report measure which items follow the ICD-11 diagnostic criteria for paraphilic disorders.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5</w:t>
            </w:r>
            <w:r>
              <w:rPr>
                <w:rFonts w:ascii="Calibri" w:hAnsi="Calibri"/>
                <w:sz w:val="20"/>
              </w:rPr>
              <w:t xml:space="preserve">information provided by supervision officer (SSQ-SO); in the German legal system, probation service refers to supervision and support during a suspended sentence or post-release support after prison, while post-release supervision (Führungsaufsicht) is a court-ordered measure of control and assistance after imprisonment in a high security hospital.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6</w:t>
            </w:r>
            <w:r>
              <w:rPr>
                <w:rFonts w:ascii="Calibri" w:hAnsi="Calibri"/>
                <w:sz w:val="20"/>
              </w:rPr>
              <w:t xml:space="preserve">data extracted from case files by trained staff (Sample Specifications Questionnaire based on the Court File, SSQ-CF); since the Static-99 is only defined for hands-on offenders, the reduced Static-99 as mentioned by Seto et al. (2012) was used); all staff member have been trained for the Static-99.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7</w:t>
            </w:r>
            <w:r>
              <w:rPr>
                <w:rFonts w:ascii="Calibri" w:hAnsi="Calibri"/>
                <w:sz w:val="20"/>
              </w:rPr>
              <w:t xml:space="preserve">information provided by supervision officer (Sample Specifications Questionnaire for the SO, SSQ-SO).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8</w:t>
            </w:r>
            <w:r>
              <w:rPr>
                <w:rFonts w:ascii="Calibri" w:hAnsi="Calibri"/>
                <w:sz w:val="20"/>
              </w:rPr>
              <w:t xml:space="preserve">assessed with the PHQ-D.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ICD-11 = International Classification of Disease version 11, StGB = German penalty law.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2026-01-30T00:11:13Z</dcterms:created>
  <dcterms:modified xsi:type="dcterms:W3CDTF">2026-01-30T00:11:13Z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