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(20 - 68)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(20 - 66)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(21 - 68)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Years of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(7 - 21)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(4 - 20)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Highest education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formal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Intermediate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Upper secondary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University degree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Employment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 education/training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Unskilled 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Worker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Employee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Self-employed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Retired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(9·5%)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Marital status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Single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Married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Divorced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Widowed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Gender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Trans/Transsexual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orientation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(65%)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heterosexual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Bisexual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Predominantly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Exclusively homosexual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Asexual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(60%)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(78%)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Medium-high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Term of imprisonment (month)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(0 - 156)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(0 - 126)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(0 - 156)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ordered by court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Major depressive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depressive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Panic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Other anxiety syndromes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Bulimia nervosa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Binge eating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Alcohol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(5·0%)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Somatoform syndrome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(7·7%)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Psychosocial functioning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Not difficult at 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(62%)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Somewhat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(9·3%)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Extremely difficult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6D30 Exhibitionistic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6D31 Voyeuristic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(2·3%)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6D32 Pedophilic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(97%)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6D33 Coercive sexual sadism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6D34 Frotteuristic disorder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6D35 Other paraphilic disorder (non-consenting)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(Min - Max);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data extracted from case files by trained staff (SSQ-CF).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preserve">information provided by the participant (SSQ-P).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rFonts w:ascii="Calibri" w:hAnsi="Calibri"/>
                <w:sz w:val="20"/>
              </w:rPr>
              <w:t xml:space="preserve">assessed with the ICD-11 screener (LIT), a self-report measure which items follow the ICD-11 diagnostic criteria for paraphilic disorders.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5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(SSQ-SO); in the German legal system, probation service refers to supervision and support during a suspended sentence or post-release support after prison, while post-release supervision (Führungsaufsicht) is a court-ordered measure of control and assistance after imprisonment in a high security hospital.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6</w:t>
            </w:r>
            <w:r>
              <w:rPr>
                <w:rFonts w:ascii="Calibri" w:hAnsi="Calibri"/>
                <w:sz w:val="20"/>
              </w:rPr>
              <w:t xml:space="preserve">data extracted from case files by trained staff; since the Static-99 is only defined for hands-on offenders, we used the reduced Static-99 as mentioned by [LIT]; all staff member have been trained for the Static-99.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7</w:t>
            </w:r>
            <w:r>
              <w:rPr>
                <w:rFonts w:ascii="Calibri" w:hAnsi="Calibri"/>
                <w:sz w:val="20"/>
              </w:rPr>
              <w:t xml:space="preserve">information provided by supervision officer (SSQ-SO).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8</w:t>
            </w:r>
            <w:r>
              <w:rPr>
                <w:rFonts w:ascii="Calibri" w:hAnsi="Calibri"/>
                <w:sz w:val="20"/>
              </w:rPr>
              <w:t xml:space="preserve">assessed with the PHQ-D (LIT).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2026-01-22T21:51:40Z</dcterms:created>
  <dcterms:modified xsi:type="dcterms:W3CDTF">2026-01-22T21:51:40Z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