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Goals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Techniques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1</w:t>
            </w:r>
            <w:r>
              <w:rPr>
                <w:rFonts w:ascii="Calibri" w:hAnsi="Calibri"/>
                <w:sz w:val="20"/>
              </w:rPr>
              <w:t xml:space="preserve"> (Motivation)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Strengthen motivation to change and treatment readiness before addressing criminogenic needs.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Motivational Interviewing (Miller &amp; Rollnick, 50): open questions, reflective listening, appreciation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Elicit 'change talk' and 'confidence talk'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Handle resistance; use summaries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2</w:t>
            </w:r>
            <w:r>
              <w:rPr>
                <w:rFonts w:ascii="Calibri" w:hAnsi="Calibri"/>
                <w:sz w:val="20"/>
              </w:rPr>
              <w:t xml:space="preserve"> (Supervision and social relationships)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Build positive social network, reduce resistance to rules and community supervision.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CBT to encourage social network building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CBT to support attitude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3</w:t>
            </w:r>
            <w:r>
              <w:rPr>
                <w:rFonts w:ascii="Calibri" w:hAnsi="Calibri"/>
                <w:sz w:val="20"/>
              </w:rPr>
              <w:t xml:space="preserve"> (Emotion management)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Reduce impulsiveness and improve coping with stress and negative emotions.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DBT (Linehan, 62): emotion regulation, distress tolerance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ACT (Hayes et al., 63): acceptance of negative experiences, meaningful life focus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4</w:t>
            </w:r>
            <w:r>
              <w:rPr>
                <w:rFonts w:ascii="Calibri" w:hAnsi="Calibri"/>
                <w:sz w:val="20"/>
              </w:rPr>
              <w:t xml:space="preserve"> (Problem solving)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Improve social problem-solving skills; promote positive problem orientation and rational problem-solving style.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Problem-Solving Therapy: positive problem orientation and rational problem-solving (PST; Nezu et al., 74)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5</w:t>
            </w:r>
            <w:r>
              <w:rPr>
                <w:rFonts w:ascii="Calibri" w:hAnsi="Calibri"/>
                <w:sz w:val="20"/>
              </w:rPr>
              <w:t xml:space="preserve"> (Offense-supportive attitudes)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Change attitudes supporting sexual offending against children.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Cognitive restructuring: identification, reframing, Socratic dialogue, compare new vs. old beliefs (Beck)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RNR: adapt to individual needs by choosing 3 out of 16 pre-defined cognitive distortions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6</w:t>
            </w:r>
            <w:r>
              <w:rPr>
                <w:rFonts w:ascii="Calibri" w:hAnsi="Calibri"/>
                <w:sz w:val="20"/>
              </w:rPr>
              <w:t xml:space="preserve"> (Sexuality)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Reduce sexual preoccupation, emotional congruence with children, and sexual interest in and fantasies about children.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CBT to influence sexual thoughts/fantasies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Promote adult-oriented interests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2026-01-22T20:51:19Z</dcterms:created>
  <dcterms:modified xsi:type="dcterms:W3CDTF">2026-01-22T20:51:19Z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