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Goals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Techniques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1</w:t>
            </w:r>
            <w:r>
              <w:rPr>
                <w:rFonts w:ascii="Calibri" w:hAnsi="Calibri"/>
                <w:sz w:val="20"/>
              </w:rPr>
              <w:t xml:space="preserve"> (Motivation)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Strengthen motivation to change and treatment readiness before addressing criminogenic needs.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Motivational Interviewing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i/>
                <w:rFonts w:ascii="Calibri" w:hAnsi="Calibri"/>
                <w:sz w:val="20"/>
              </w:rPr>
              <w:t xml:space="preserve">Miller &amp; Rollnick</w:t>
            </w:r>
            <w:r>
              <w:rPr>
                <w:rFonts w:ascii="Calibri" w:hAnsi="Calibri"/>
                <w:sz w:val="20"/>
              </w:rPr>
              <w:t xml:space="preserve">, 50): open questions, reflective listening, appreciation, 'change talk' and 'confidence talk', resistance handling, summaries.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2</w:t>
            </w:r>
            <w:r>
              <w:rPr>
                <w:rFonts w:ascii="Calibri" w:hAnsi="Calibri"/>
                <w:sz w:val="20"/>
              </w:rPr>
              <w:t xml:space="preserve"> (Supervision and social relationships)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Build positive social network, reduce resistance to rules and community supervision.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CBT</w:t>
            </w:r>
            <w:r>
              <w:rPr>
                <w:rFonts w:ascii="Calibri" w:hAnsi="Calibri"/>
                <w:sz w:val="20"/>
              </w:rPr>
              <w:t xml:space="preserve"> to encourage social network building and attitude change.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3</w:t>
            </w:r>
            <w:r>
              <w:rPr>
                <w:rFonts w:ascii="Calibri" w:hAnsi="Calibri"/>
                <w:sz w:val="20"/>
              </w:rPr>
              <w:t xml:space="preserve"> (Emotion management)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Reduce impulsiveness and improve coping with stress and negative emotions.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DBT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i/>
                <w:rFonts w:ascii="Calibri" w:hAnsi="Calibri"/>
                <w:sz w:val="20"/>
              </w:rPr>
              <w:t xml:space="preserve">Linehan</w:t>
            </w:r>
            <w:r>
              <w:rPr>
                <w:rFonts w:ascii="Calibri" w:hAnsi="Calibri"/>
                <w:sz w:val="20"/>
              </w:rPr>
              <w:t xml:space="preserve">, 62): emotion regulation, distress tolerance.</w:t>
            </w:r>
          </w:p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ACT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i/>
                <w:rFonts w:ascii="Calibri" w:hAnsi="Calibri"/>
                <w:sz w:val="20"/>
              </w:rPr>
              <w:t xml:space="preserve">Hayes et al.</w:t>
            </w:r>
            <w:r>
              <w:rPr>
                <w:rFonts w:ascii="Calibri" w:hAnsi="Calibri"/>
                <w:sz w:val="20"/>
              </w:rPr>
              <w:t xml:space="preserve">, 63): acceptance of negative experiences, meaningful life focus.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4</w:t>
            </w:r>
            <w:r>
              <w:rPr>
                <w:rFonts w:ascii="Calibri" w:hAnsi="Calibri"/>
                <w:sz w:val="20"/>
              </w:rPr>
              <w:t xml:space="preserve"> (Problem solving)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Improve social problem-solving skills; promote positive problem orientation and rational problem-solving style.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Problem-Solving Therapy</w:t>
            </w:r>
            <w:r>
              <w:rPr>
                <w:rFonts w:ascii="Calibri" w:hAnsi="Calibri"/>
                <w:sz w:val="20"/>
              </w:rPr>
              <w:t xml:space="preserve">: training in positive problem orientation and rational problem-solving (</w:t>
            </w:r>
            <w:r>
              <w:rPr>
                <w:i/>
                <w:rFonts w:ascii="Calibri" w:hAnsi="Calibri"/>
                <w:sz w:val="20"/>
              </w:rPr>
              <w:t xml:space="preserve">PST</w:t>
            </w:r>
            <w:r>
              <w:rPr>
                <w:rFonts w:ascii="Calibri" w:hAnsi="Calibri"/>
                <w:sz w:val="20"/>
              </w:rPr>
              <w:t xml:space="preserve">; Nezu et al., 74).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5</w:t>
            </w:r>
            <w:r>
              <w:rPr>
                <w:rFonts w:ascii="Calibri" w:hAnsi="Calibri"/>
                <w:sz w:val="20"/>
              </w:rPr>
              <w:t xml:space="preserve"> (Offense-supportive attitudes)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Change attitudes supporting sexual offending against children.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Cognitive Restructuring</w:t>
            </w:r>
            <w:r>
              <w:rPr>
                <w:rFonts w:ascii="Calibri" w:hAnsi="Calibri"/>
                <w:sz w:val="20"/>
              </w:rPr>
              <w:t xml:space="preserve">: identification, reframing, Socratic dialogue, comparison of new vs. old beliefs (Beck).</w:t>
            </w:r>
          </w:p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RNR</w:t>
            </w:r>
            <w:r>
              <w:rPr>
                <w:rFonts w:ascii="Calibri" w:hAnsi="Calibri"/>
                <w:sz w:val="20"/>
              </w:rPr>
              <w:t xml:space="preserve">: adaption to individual needs by choosing three out of 16 pre-defined cognitive distortions.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 6</w:t>
            </w:r>
            <w:r>
              <w:rPr>
                <w:rFonts w:ascii="Calibri" w:hAnsi="Calibri"/>
                <w:sz w:val="20"/>
              </w:rPr>
              <w:t xml:space="preserve"> (Sexuality)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Reduce sexual preoccupation, emotional congruence with children, and sexual interest in and fantasies about children.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CBT</w:t>
            </w:r>
            <w:r>
              <w:rPr>
                <w:rFonts w:ascii="Calibri" w:hAnsi="Calibri"/>
                <w:sz w:val="20"/>
              </w:rPr>
              <w:t xml:space="preserve"> to influence sexual thoughts/fantasies and promote adult-oriented interests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2026-01-21T08:19:30Z</dcterms:created>
  <dcterms:modified xsi:type="dcterms:W3CDTF">2026-01-21T08:19:30Z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