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Placebo</w:t>
            </w:r>
            <w:r>
              <w:rPr>
                <w:rFonts w:ascii="Calibri" w:hAnsi="Calibri"/>
                <w:sz w:val="20"/>
              </w:rPr>
              <w:t xml:space="preserve">  N = 98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Intervention</w:t>
            </w:r>
            <w:r>
              <w:rPr>
                <w:rFonts w:ascii="Calibri" w:hAnsi="Calibri"/>
                <w:sz w:val="20"/>
              </w:rPr>
              <w:t xml:space="preserve">  N = 97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q-value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Module 1 (post)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0·0090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0·045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(Q1 – Q3)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(-3 – 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(-1 – 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Module 2 (post)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0·40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(Q1 – Q3)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0·0 (-3·0 – 2·0)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1·0 (-1·0 – 4·0)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Module 3 (post)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0·51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(Q1 – Q3)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1·0 (-2·0 – 3·0)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0·0 (-2·0 – 3·0)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Module 4 (post)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0·40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(Q1 – Q3)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0·0 (-2·0 – 3·0)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-0·5 (-4·0 – 2·0)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Module 5 (post)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0·061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0·24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(Q1 – Q3)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0·0 (-2·0 – 2·0)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1·0 (0·0 – 4·0)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Abbreviation: Q1 = 25th percentile, Q3 = 75th percentile, SD = Standard deviance, p~adj~ = Holm-Bonferroni adjusted p.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2026-03-23T14:45:53Z</dcterms:created>
  <dcterms:modified xsi:type="dcterms:W3CDTF">2026-03-23T14:45:53Z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