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Goals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Techniques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1</w:t>
            </w:r>
            <w:r>
              <w:rPr>
                <w:rFonts w:ascii="Calibri" w:hAnsi="Calibri"/>
                <w:sz w:val="20"/>
              </w:rPr>
              <w:t xml:space="preserve"> (Motivation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Strengthen motivation to change and treatment readiness before addressing criminogenic needs.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Motivational Interviewing</w:t>
            </w:r>
            <w:r>
              <w:rPr>
                <w:rFonts w:ascii="Calibri" w:hAnsi="Calibri"/>
                <w:sz w:val="20"/>
              </w:rPr>
              <w:t xml:space="preserve"> (</w:t>
            </w:r>
            <w:r>
              <w:rPr>
                <w:i/>
                <w:rFonts w:ascii="Calibri" w:hAnsi="Calibri"/>
                <w:sz w:val="20"/>
              </w:rPr>
              <w:t xml:space="preserve">Miller &amp; Rollnick</w:t>
            </w:r>
            <w:r>
              <w:rPr>
                <w:rFonts w:ascii="Calibri" w:hAnsi="Calibri"/>
                <w:sz w:val="20"/>
              </w:rPr>
              <w:t xml:space="preserve">, 50): open questions, reflective listening, appreciation, 'change talk' and 'confidence talk', resistance handling, summaries.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2</w:t>
            </w:r>
            <w:r>
              <w:rPr>
                <w:rFonts w:ascii="Calibri" w:hAnsi="Calibri"/>
                <w:sz w:val="20"/>
              </w:rPr>
              <w:t xml:space="preserve"> (Supervision and Social Relationships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Build positive social network, reduce resistance to rules and community supervision.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Psychoeducational</w:t>
            </w:r>
            <w:r>
              <w:rPr>
                <w:rFonts w:ascii="Calibri" w:hAnsi="Calibri"/>
                <w:sz w:val="20"/>
              </w:rPr>
              <w:t xml:space="preserve"> and </w:t>
            </w:r>
            <w:r>
              <w:rPr>
                <w:b w:val="true"/>
                <w:rFonts w:ascii="Calibri" w:hAnsi="Calibri"/>
                <w:sz w:val="20"/>
              </w:rPr>
              <w:t xml:space="preserve">cognitive-behavioral techniques</w:t>
            </w:r>
            <w:r>
              <w:rPr>
                <w:rFonts w:ascii="Calibri" w:hAnsi="Calibri"/>
                <w:sz w:val="20"/>
              </w:rPr>
              <w:t xml:space="preserve"> to encourage network building and attitude change.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3</w:t>
            </w:r>
            <w:r>
              <w:rPr>
                <w:rFonts w:ascii="Calibri" w:hAnsi="Calibri"/>
                <w:sz w:val="20"/>
              </w:rPr>
              <w:t xml:space="preserve"> (Emotion Management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Reduce impulsiveness and improve coping with stress/negative emotions.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DBT</w:t>
            </w:r>
            <w:r>
              <w:rPr>
                <w:rFonts w:ascii="Calibri" w:hAnsi="Calibri"/>
                <w:sz w:val="20"/>
              </w:rPr>
              <w:t xml:space="preserve"> (</w:t>
            </w:r>
            <w:r>
              <w:rPr>
                <w:i/>
                <w:rFonts w:ascii="Calibri" w:hAnsi="Calibri"/>
                <w:sz w:val="20"/>
              </w:rPr>
              <w:t xml:space="preserve">Linehan</w:t>
            </w:r>
            <w:r>
              <w:rPr>
                <w:rFonts w:ascii="Calibri" w:hAnsi="Calibri"/>
                <w:sz w:val="20"/>
              </w:rPr>
              <w:t xml:space="preserve">, 62): emotion regulation, distress tolerance.</w:t>
            </w:r>
          </w:p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ACT</w:t>
            </w:r>
            <w:r>
              <w:rPr>
                <w:rFonts w:ascii="Calibri" w:hAnsi="Calibri"/>
                <w:sz w:val="20"/>
              </w:rPr>
              <w:t xml:space="preserve"> (</w:t>
            </w:r>
            <w:r>
              <w:rPr>
                <w:i/>
                <w:rFonts w:ascii="Calibri" w:hAnsi="Calibri"/>
                <w:sz w:val="20"/>
              </w:rPr>
              <w:t xml:space="preserve">Hayes et al.</w:t>
            </w:r>
            <w:r>
              <w:rPr>
                <w:rFonts w:ascii="Calibri" w:hAnsi="Calibri"/>
                <w:sz w:val="20"/>
              </w:rPr>
              <w:t xml:space="preserve">, 63): acceptance of negative experiences, meaningful life focus.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4</w:t>
            </w:r>
            <w:r>
              <w:rPr>
                <w:rFonts w:ascii="Calibri" w:hAnsi="Calibri"/>
                <w:sz w:val="20"/>
              </w:rPr>
              <w:t xml:space="preserve"> (Problem Solving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Improve social problem-solving skills; promote positive problem orientation and rational problem-solving style.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Problem-Solving Therapy</w:t>
            </w:r>
            <w:r>
              <w:rPr>
                <w:rFonts w:ascii="Calibri" w:hAnsi="Calibri"/>
                <w:sz w:val="20"/>
              </w:rPr>
              <w:t xml:space="preserve">: training in positive problem orientation and rational problem-solving (</w:t>
            </w:r>
            <w:r>
              <w:rPr>
                <w:i/>
                <w:rFonts w:ascii="Calibri" w:hAnsi="Calibri"/>
                <w:sz w:val="20"/>
              </w:rPr>
              <w:t xml:space="preserve">PST</w:t>
            </w:r>
            <w:r>
              <w:rPr>
                <w:rFonts w:ascii="Calibri" w:hAnsi="Calibri"/>
                <w:sz w:val="20"/>
              </w:rPr>
              <w:t xml:space="preserve">; Nezu et al., 74).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5</w:t>
            </w:r>
            <w:r>
              <w:rPr>
                <w:rFonts w:ascii="Calibri" w:hAnsi="Calibri"/>
                <w:sz w:val="20"/>
              </w:rPr>
              <w:t xml:space="preserve"> (Offense-Supportive Attitudes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Change attitudes supporting sexual offending against children.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Cognitive Restructuring</w:t>
            </w:r>
            <w:r>
              <w:rPr>
                <w:rFonts w:ascii="Calibri" w:hAnsi="Calibri"/>
                <w:sz w:val="20"/>
              </w:rPr>
              <w:t xml:space="preserve">: identification, reframing, Socratic dialogue, comparison of new vs. old beliefs (Beck).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6</w:t>
            </w:r>
            <w:r>
              <w:rPr>
                <w:rFonts w:ascii="Calibri" w:hAnsi="Calibri"/>
                <w:sz w:val="20"/>
              </w:rPr>
              <w:t xml:space="preserve"> (Sexuality Module)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Reduce sexual preoccupation, emotional congruence with children, and sexual interest/fantasies about children.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Cognitive-behavioral techniques</w:t>
            </w:r>
            <w:r>
              <w:rPr>
                <w:rFonts w:ascii="Calibri" w:hAnsi="Calibri"/>
                <w:sz w:val="20"/>
              </w:rPr>
              <w:t xml:space="preserve"> to influence sexual thoughts/fantasies and promote adult-oriented interests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2026-01-20T21:59:12Z</dcterms:created>
  <dcterms:modified xsi:type="dcterms:W3CDTF">2026-01-20T21:59:12Z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