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>  N = 221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108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113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Any hands-off offences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186 (84%)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 (83%)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96 (85%)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(15%)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More than one hands-on victims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(45%)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(46%)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 (55%)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 (57%)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(54%)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Any hands-on victims under 15 years old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(45%)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 (56%)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(56%)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(55%)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Any hands-on victims under 12 years old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 (72%)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 (66%)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 (77%)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(23%)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Any extra-familiar hands-on victims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75 (77%)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 (74%)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 (80%)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(20%)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SSPI-2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 –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3·00 (2·00 – 4·00)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3·00 (2·00 – 4·00)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3·00 (2·00 – 4·00)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n (%)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2026-01-20T21:59:37Z</dcterms:created>
  <dcterms:modified xsi:type="dcterms:W3CDTF">2026-01-20T21:59:37Z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