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Characteristic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Placebo</w:t>
            </w:r>
            <w:r>
              <w:rPr>
                <w:rFonts w:ascii="Calibri" w:hAnsi="Calibri"/>
                <w:sz w:val="20"/>
              </w:rPr>
              <w:t xml:space="preserve">  N = 98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Intervention</w:t>
            </w:r>
            <w:r>
              <w:rPr>
                <w:rFonts w:ascii="Calibri" w:hAnsi="Calibri"/>
                <w:sz w:val="20"/>
              </w:rPr>
              <w:t xml:space="preserve">  N = 97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q-value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1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0·025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0·13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 –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(-3 – 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 (-2 – 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2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0·059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0·18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 –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(-4 – 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(-2 – 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3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0·39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0·39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 –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 (-2·0 – 4·0)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 (-3·0 – 2·0)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4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0·19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0·39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 –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 (-2·0 – 4·0)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-1·0 (-5·0 – 2·0)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5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0·036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0·14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 –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 (-2·0 – 4·0)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2·0 (0·0 – 6·0)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gridSpan w:val="5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Abbreviation: Q1 = 25th percentile, Q3 = 75th percentile, SD = Standard deviance, p~adj~ = Holm-Bonferroni adjusted p.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2026-03-20T10:34:14Z</dcterms:created>
  <dcterms:modified xsi:type="dcterms:W3CDTF">2026-03-20T10:34:14Z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