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Placebo</w:t>
            </w:r>
            <w:r>
              <w:rPr>
                <w:rFonts w:ascii="Calibri" w:hAnsi="Calibri"/>
                <w:sz w:val="20"/>
              </w:rPr>
              <w:t xml:space="preserve">  N = 106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Intervention</w:t>
            </w:r>
            <w:r>
              <w:rPr>
                <w:rFonts w:ascii="Calibri" w:hAnsi="Calibri"/>
                <w:sz w:val="20"/>
              </w:rPr>
              <w:t xml:space="preserve">  N = 106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1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 (-6, 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 (-7, 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-30, 17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-37, 16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2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(-3, 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 (-4, 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-33, 46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-24, 18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3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 (-5, 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 (-6, 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-55, 17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-19, 24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4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 (6·3)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-0·7 (5·4)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(-3·0, 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(-4·5, 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-19·0, 21·0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-12·0, 11·0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5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 (8·4)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 (7·1)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2·0 (-4·0, 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(-3·0, 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-24·0, 29·0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-16·0, 32·0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6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 (4·3)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-0·6 (5·5)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-1·0 (-3·0, 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(-4·0, 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-7·0, 13·0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-22·0, 9·0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Abbreviation: Q1 = 25th percentile, Q3 = 75th percentile, p~adj~ = Holm-Bonferroni adjusted p.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2026-03-20T10:32:11Z</dcterms:created>
  <dcterms:modified xsi:type="dcterms:W3CDTF">2026-03-20T10:32:11Z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