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Intervention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108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Placebo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113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p-hat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1 (advised: 28 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0.351, 0.503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(110)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 (76)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(43, 151)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 (36, 113)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24, 691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23, 506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2 (advised: 28 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0.401, 0.572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-0·316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(33, 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(33, 75)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25, 312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22, 390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3 (advised: 28 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0.319, 0.502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(44)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 (36, 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 (31, 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27, 308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24, 246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4 (advised: 28 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0.29, 0.483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-2·28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 (60)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(33, 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(30, 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25, 324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24, 173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5 (advised: 28 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0.384, 0.606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-0·095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(34, 83)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(33, 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23, 223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28, 186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Module 6 (advised: 28 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0.289, 0.518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Median (Q1, Q3)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(22, 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(22, 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Min, 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15, 279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14, 317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i/>
                <w:rFonts w:ascii="Calibri" w:hAnsi="Calibri"/>
                <w:sz w:val="20"/>
              </w:rPr>
              <w:t xml:space="preserve">95% CI</w:t>
            </w:r>
            <w:r>
              <w:rPr>
                <w:rFonts w:ascii="Calibri" w:hAnsi="Calibri"/>
                <w:sz w:val="20"/>
              </w:rPr>
              <w:t xml:space="preserve"> = Confidence interval of the estimated relative effect, </w:t>
            </w:r>
            <w:r>
              <w:rPr>
                <w:i/>
                <w:rFonts w:ascii="Calibri" w:hAnsi="Calibri"/>
                <w:sz w:val="20"/>
              </w:rPr>
              <w:t xml:space="preserve">Q1</w:t>
            </w:r>
            <w:r>
              <w:rPr>
                <w:rFonts w:ascii="Calibri" w:hAnsi="Calibri"/>
                <w:sz w:val="20"/>
              </w:rPr>
              <w:t xml:space="preserve"> = 25th percentile, </w:t>
            </w:r>
            <w:r>
              <w:rPr>
                <w:i/>
                <w:rFonts w:ascii="Calibri" w:hAnsi="Calibri"/>
                <w:sz w:val="20"/>
              </w:rPr>
              <w:t xml:space="preserve">Q3</w:t>
            </w:r>
            <w:r>
              <w:rPr>
                <w:rFonts w:ascii="Calibri" w:hAnsi="Calibri"/>
                <w:sz w:val="20"/>
              </w:rPr>
              <w:t xml:space="preserve"> = 75th percentile, </w:t>
            </w:r>
            <w:r>
              <w:rPr>
                <w:i/>
                <w:rFonts w:ascii="Calibri" w:hAnsi="Calibri"/>
                <w:sz w:val="20"/>
              </w:rPr>
              <w:t xml:space="preserve">p-hat</w:t>
            </w:r>
            <w:r>
              <w:rPr>
                <w:rFonts w:ascii="Calibri" w:hAnsi="Calibri"/>
                <w:sz w:val="20"/>
              </w:rPr>
              <w:t xml:space="preserve"> = estimated relative effect, </w:t>
            </w:r>
            <w:r>
              <w:rPr>
                <w:i/>
                <w:rFonts w:ascii="Calibri" w:hAnsi="Calibri"/>
                <w:sz w:val="20"/>
              </w:rPr>
              <w:t xml:space="preserve">q-value</w:t>
            </w:r>
            <w:r>
              <w:rPr>
                <w:rFonts w:ascii="Calibri" w:hAnsi="Calibri"/>
                <w:sz w:val="20"/>
              </w:rPr>
              <w:t xml:space="preserve"> = Holm-Bonferroni adjusted p-value, </w:t>
            </w:r>
            <w:r>
              <w:rPr>
                <w:i/>
                <w:rFonts w:ascii="Calibri" w:hAnsi="Calibri"/>
                <w:sz w:val="20"/>
              </w:rPr>
              <w:t xml:space="preserve">t</w:t>
            </w:r>
            <w:r>
              <w:rPr>
                <w:rFonts w:ascii="Calibri" w:hAnsi="Calibri"/>
                <w:sz w:val="20"/>
              </w:rPr>
              <w:t xml:space="preserve"> = Brunner–Munzel test statistic for unpaired samples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2026-01-19T16:00:49Z</dcterms:created>
  <dcterms:modified xsi:type="dcterms:W3CDTF">2026-01-19T16:00:49Z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