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d9b7eac3f6693c3779864abfb51f567d7a627ea"/>
    <w:p>
      <w:pPr>
        <w:pStyle w:val="Heading1"/>
        <w:jc w:val="left"/>
        <w:spacing w:line="360" w:lineRule="auto"/>
      </w:pPr>
      <w:r>
        <w:rPr>
          <w:rFonts w:ascii="Times New Roman" w:hAnsi="Times New Roman"/>
          <w:b/>
          <w:sz w:val="28"/>
        </w:rPr>
        <w:t xml:space="preserve">Use of Modern Technologies and Digital Tools in Nursing</w:t>
      </w:r>
    </w:p>
    <w:bookmarkStart w:id="20" w:name="abstract"/>
    <w:p>
      <w:pPr>
        <w:pStyle w:val="Heading2"/>
        <w:jc w:val="left"/>
        <w:spacing w:line="360" w:lineRule="auto"/>
      </w:pPr>
      <w:r>
        <w:rPr>
          <w:rFonts w:ascii="Times New Roman" w:hAnsi="Times New Roman"/>
          <w:b/>
          <w:sz w:val="24"/>
        </w:rPr>
        <w:t xml:space="preserve">Abstract</w:t>
      </w:r>
    </w:p>
    <w:p>
      <w:pPr>
        <w:pStyle w:val="FirstParagraph"/>
        <w:jc w:val="both"/>
        <w:spacing w:line="360" w:lineRule="auto"/>
      </w:pPr>
      <w:r>
        <w:rPr>
          <w:rFonts w:ascii="Times New Roman" w:hAnsi="Times New Roman"/>
          <w:sz w:val="24"/>
        </w:rPr>
        <w:t xml:space="preserve">The rapid digitalisation of healthcare systems has fundamentally transformed nursing practice, placing new demands on nurses with respect to the adoption and effective use of electronic health records, clinical decision-support tools, telemedicine platforms, and mobile health applications. Despite significant investment in digital health infrastructure across Central Europe, systematic empirical data on the frequency of digital tool use among Slovak nurses, the relationship between nurses’ educational and professional characteristics and their technology adoption behaviours, and nurses’ own assessments of how digital tools affect work efficiency and patient care quality remain scarce. This cross-sectional survey study addresses that gap by examining digital technology use among nurses employed in inpatient and outpatient healthcare facilities in Slovakia. A self-constructed 36-item questionnaire was distributed in paper and electronic formats to a convenience sample of 150–200 nurses meeting defined eligibility criteria. Data were analysed using descriptive statistics and inferential methods, including the Pearson Chi-square test of independence and a one-sample z-test for proportions. The study tested four hypotheses concerning the relationship between frequency of digital tool use and self-rated work efficiency, the association between educational level and technology use frequency, the relationship between years of clinical experience and attitude toward digital technologies, and the proportion of nurses rating electronic health records as beneficial to patient care quality and safety. Results, implications for nursing education and workforce policy, and directions for future research are presented and discussed within the context of Slovak healthcare digitalisation.</w:t>
      </w:r>
    </w:p>
    <w:p>
      <w:pPr>
        <w:pStyle w:val="BodyText"/>
        <w:jc w:val="both"/>
        <w:spacing w:line="360" w:lineRule="auto"/>
      </w:pPr>
      <w:r>
        <w:rPr>
          <w:rFonts w:ascii="Times New Roman" w:hAnsi="Times New Roman"/>
          <w:b/>
          <w:bCs/>
          <w:sz w:val="24"/>
        </w:rPr>
        <w:t xml:space="preserve">Keywords</w:t>
      </w:r>
      <w:r>
        <w:rPr>
          <w:rFonts w:ascii="Times New Roman" w:hAnsi="Times New Roman"/>
          <w:sz w:val="24"/>
        </w:rPr>
        <w:t xml:space="preserve">: digital tools in nursing, electronic health record, nursing informatics, technology adoption, Slovak nursing, quantitative survey, health informatics</w:t>
      </w:r>
    </w:p>
    <w:p>
      <w:pPr>
        <w:jc w:val="both"/>
        <w:spacing w:line="360" w:lineRule="auto"/>
      </w:pPr>
      <w:r>
        <w:rPr>
          <w:rFonts w:ascii="Times New Roman" w:hAnsi="Times New Roman"/>
          <w:sz w:val="24"/>
        </w:rPr>
        <w:pict>
          <v:rect style="width:0;height:1.5pt" o:hralign="center" o:hrstd="t" o:hr="t"/>
        </w:pict>
      </w:r>
    </w:p>
    <w:bookmarkEnd w:id="20"/>
    <w:bookmarkStart w:id="27" w:name="chapter-1-introduction"/>
    <w:p>
      <w:pPr>
        <w:pStyle w:val="Heading2"/>
        <w:jc w:val="left"/>
        <w:spacing w:line="360" w:lineRule="auto"/>
      </w:pPr>
      <w:r>
        <w:rPr>
          <w:rFonts w:ascii="Times New Roman" w:hAnsi="Times New Roman"/>
          <w:b/>
          <w:sz w:val="24"/>
        </w:rPr>
        <w:t xml:space="preserve">Chapter 1: Introduction</w:t>
      </w:r>
    </w:p>
    <w:bookmarkStart w:id="21" w:name="research-background"/>
    <w:p>
      <w:pPr>
        <w:pStyle w:val="Heading3"/>
        <w:jc w:val="left"/>
        <w:spacing w:line="360" w:lineRule="auto"/>
      </w:pPr>
      <w:r>
        <w:rPr>
          <w:rFonts w:ascii="Times New Roman" w:hAnsi="Times New Roman"/>
          <w:b/>
          <w:sz w:val="24"/>
        </w:rPr>
        <w:t xml:space="preserve">1.1 Research Background</w:t>
      </w:r>
    </w:p>
    <w:p>
      <w:pPr>
        <w:pStyle w:val="FirstParagraph"/>
        <w:jc w:val="both"/>
        <w:spacing w:line="360" w:lineRule="auto"/>
      </w:pPr>
      <w:r>
        <w:rPr>
          <w:rFonts w:ascii="Times New Roman" w:hAnsi="Times New Roman"/>
          <w:sz w:val="24"/>
        </w:rPr>
        <w:t xml:space="preserve">The global healthcare landscape has undergone a profound transformation over the past two decades, driven by the accelerating integration of digital technologies into clinical practice. Electronic health records (EHR), telemedicine platforms, mobile health applications, clinical decision-support systems, and smart patient monitoring devices have collectively reshaped the organisation of care delivery, the structure of clinical documentation, and the informational demands placed on healthcare professionals. Worldwide, the share of hospitals operating comprehensive EHR systems rose from below five percent in the early 2000s to more than eighty percent in leading healthcare economies by the mid-2020s (Ge et al., 2022; Jiang et al., 2023). The European Union reinforced this trajectory with the adoption of Regulation (EU) 2025/327 establishing the European Health Data Space, which requires Member States to support priority data exchange by March 2029 (da Silva Carvalho et al., 2025). These developments signal not merely a technological trend but a structural reconfiguration of healthcare systems in which digital competence has become a prerequisite for safe and effective clinical practice.</w:t>
      </w:r>
    </w:p>
    <w:p>
      <w:pPr>
        <w:pStyle w:val="BodyText"/>
        <w:jc w:val="both"/>
        <w:spacing w:line="360" w:lineRule="auto"/>
      </w:pPr>
      <w:r>
        <w:rPr>
          <w:rFonts w:ascii="Times New Roman" w:hAnsi="Times New Roman"/>
          <w:sz w:val="24"/>
        </w:rPr>
        <w:t xml:space="preserve">Nursing, as the most numerous professional group within healthcare systems, occupies a central position in this digital transformation. Nurses are primary users of EHR systems, principal operatives of monitoring technologies, and front-line communicators through digital handover and care coordination platforms. The capacity of the nursing workforce to adopt, effectively use, and critically evaluate digital tools therefore has direct consequences for patient safety, care continuity, and institutional efficiency. The professional literature has responded accordingly: theoretical frameworks for understanding technology adoption in nursing — most notably the Technology Acceptance Model (TAM) (Davis, 1989), its successor the Unified Theory of Acceptance and Use of Technology (UTAUT) (Venkatesh et al., 2003), and Rogers’ (2003) Diffusion of Innovations theory — have been applied extensively to nursing populations, yielding a robust body of evidence on the predictors of nurses’ technology acceptance and the organisational conditions under which digital tools translate into improved clinical outcomes.</w:t>
      </w:r>
    </w:p>
    <w:p>
      <w:pPr>
        <w:pStyle w:val="BodyText"/>
        <w:jc w:val="both"/>
        <w:spacing w:line="360" w:lineRule="auto"/>
      </w:pPr>
      <w:r>
        <w:rPr>
          <w:rFonts w:ascii="Times New Roman" w:hAnsi="Times New Roman"/>
          <w:sz w:val="24"/>
        </w:rPr>
        <w:t xml:space="preserve">Within this international context, the Slovak healthcare system has pursued its own digital transformation trajectory. The national eHealth platform — eZdravie — launched on 1 January 2018, introducing the Electronic Health Booklet (Elektronická zdravotná knižka, EZK), the electronic prescription (ePrescription), eExamination records, and a Patient Summary accessible to all registered healthcare providers (Štempeľová, Hudáková &amp; Takáč, 2023). This represented a landmark institutional shift, embedding digital documentation requirements into the legal obligations of healthcare facilities and professionals. The legislative basis — the Slovak eHealth Act (Act No. 153/2013 Coll.) and its subsequent amendments — created a framework that formally integrates nursing documentation into the national electronic health information infrastructure. Despite these legislative and technological advances, empirical evidence on how Slovak nurses actually interact with these systems in everyday clinical practice, and how they assess the impact of digital tools on their work and on patient care, remains largely absent from the published literature.</w:t>
      </w:r>
    </w:p>
    <w:p>
      <w:pPr>
        <w:pStyle w:val="BodyText"/>
        <w:jc w:val="both"/>
        <w:spacing w:line="360" w:lineRule="auto"/>
      </w:pPr>
      <w:r>
        <w:rPr>
          <w:rFonts w:ascii="Times New Roman" w:hAnsi="Times New Roman"/>
          <w:sz w:val="24"/>
        </w:rPr>
        <w:t xml:space="preserve">Healthcare systems across Central and Eastern Europe, including Slovakia, share structural characteristics that may render the adoption trajectories of Western European or North American contexts only partially applicable: an ageing nursing workforce, a nursing education system spanning secondary vocational and university-level programmes with varying informatics content, healthcare facilities at different stages of EMRAM (Electronic Medical Record Adoption Model) progression, and dual documentation burdens arising from the coexistence of paper-based and electronic records in many clinical environments (Bartosiewicz, Burzyňska &amp; Januszewicz, 2021; Girasek, Döbrössy, Boros &amp; Győrffy, 2024). Understanding how these structural conditions shape nurses’ technology use and attitudes is essential for evidence-based policy in nursing education, workforce development, and health informatics.</w:t>
      </w:r>
    </w:p>
    <w:bookmarkEnd w:id="21"/>
    <w:bookmarkStart w:id="22" w:name="problem-statement"/>
    <w:p>
      <w:pPr>
        <w:pStyle w:val="Heading3"/>
        <w:jc w:val="left"/>
        <w:spacing w:line="360" w:lineRule="auto"/>
      </w:pPr>
      <w:r>
        <w:rPr>
          <w:rFonts w:ascii="Times New Roman" w:hAnsi="Times New Roman"/>
          <w:b/>
          <w:sz w:val="24"/>
        </w:rPr>
        <w:t xml:space="preserve">1.2 Problem Statement</w:t>
      </w:r>
    </w:p>
    <w:p>
      <w:pPr>
        <w:pStyle w:val="FirstParagraph"/>
        <w:jc w:val="both"/>
        <w:spacing w:line="360" w:lineRule="auto"/>
      </w:pPr>
      <w:r>
        <w:rPr>
          <w:rFonts w:ascii="Times New Roman" w:hAnsi="Times New Roman"/>
          <w:sz w:val="24"/>
        </w:rPr>
        <w:t xml:space="preserve">Despite the extensive international literature on digital technology adoption in nursing, a significant evidence gap persists with respect to the Slovak clinical nursing context. The frequency and breadth of digital tool use among Slovak nurses across both inpatient and outpatient settings have not been systematically measured. The relationship between nurses’ educational credentials — a particularly relevant variable given the co-existence of secondary vocational, bachelor’s, and master’s-level nursing education pathways in Slovakia — and their patterns of technology adoption has not been empirically examined in a Slovak clinical sample. Similarly, the relationship between years of clinical experience and nurses’ attitudes toward digital technologies, while theoretically predicted by both UTAUT and Diffusion of Innovations frameworks and empirically supported in several Central European studies (Bartosiewicz, Burzyňska &amp; Januszewicz, 2021; Girasek et al., 2024), has not been investigated among Slovak nursing staff specifically. Finally, the proportion of Slovak nurses who perceive EHR systems as contributing to improved quality and safety of patient care — a clinically and policy-relevant indicator — is unknown.</w:t>
      </w:r>
    </w:p>
    <w:p>
      <w:pPr>
        <w:pStyle w:val="BodyText"/>
        <w:jc w:val="both"/>
        <w:spacing w:line="360" w:lineRule="auto"/>
      </w:pPr>
      <w:r>
        <w:rPr>
          <w:rFonts w:ascii="Times New Roman" w:hAnsi="Times New Roman"/>
          <w:sz w:val="24"/>
        </w:rPr>
        <w:t xml:space="preserve">This knowledge gap has practical consequences. Without empirical data on the current state of digital tool adoption in Slovak nursing, healthcare institutions, nursing educators, and healthcare IT policymakers lack the evidentiary basis for targeted interventions. Decisions regarding nursing informatics curricula, continuing professional development in digital competencies, and investment priorities for clinical IT infrastructure are currently made without the foundation of nationally grounded survey evidence. The international literature, while informative, is not a substitute: evidence from the United States, Australia, or even neighbouring Poland or Hungary reflects healthcare system structures, IT deployment patterns, and nursing education systems that differ materially from the Slovak context. A study grounded in the Slovak clinical environment is therefore not a replication of existing research but an original contribution to a genuinely underexplored empirical field.</w:t>
      </w:r>
    </w:p>
    <w:bookmarkEnd w:id="22"/>
    <w:bookmarkStart w:id="23" w:name="theoretical-basis"/>
    <w:p>
      <w:pPr>
        <w:pStyle w:val="Heading3"/>
        <w:jc w:val="left"/>
        <w:spacing w:line="360" w:lineRule="auto"/>
      </w:pPr>
      <w:r>
        <w:rPr>
          <w:rFonts w:ascii="Times New Roman" w:hAnsi="Times New Roman"/>
          <w:b/>
          <w:sz w:val="24"/>
        </w:rPr>
        <w:t xml:space="preserve">1.3 Theoretical Basis</w:t>
      </w:r>
    </w:p>
    <w:p>
      <w:pPr>
        <w:pStyle w:val="FirstParagraph"/>
        <w:jc w:val="both"/>
        <w:spacing w:line="360" w:lineRule="auto"/>
      </w:pPr>
      <w:r>
        <w:rPr>
          <w:rFonts w:ascii="Times New Roman" w:hAnsi="Times New Roman"/>
          <w:sz w:val="24"/>
        </w:rPr>
        <w:t xml:space="preserve">The present study draws on three interconnected theoretical frameworks that together provide the conceptual scaffolding for both the research design and the interpretation of findings.</w:t>
      </w:r>
    </w:p>
    <w:p>
      <w:pPr>
        <w:pStyle w:val="BodyText"/>
        <w:jc w:val="both"/>
        <w:spacing w:line="360" w:lineRule="auto"/>
      </w:pPr>
      <w:r>
        <w:rPr>
          <w:rFonts w:ascii="Times New Roman" w:hAnsi="Times New Roman"/>
          <w:sz w:val="24"/>
        </w:rPr>
        <w:t xml:space="preserve">The Technology Acceptance Model (TAM), originally proposed by Davis (1989), holds that an individual’s adoption of an information technology is primarily determined by two perceptual constructs: perceived usefulness — the degree to which the individual believes the technology will enhance job performance — and perceived ease of use — the degree to which the technology is believed to require minimal effort. These perceptions shape attitudes toward use, which in turn drive behavioural intention and actual usage. TAM has been applied to nursing populations in numerous cross-sectional surveys (Xie, Zhang &amp; Zhu, 2025; Walzer et al., 2025) and remains the most cited individual-level framework in nursing informatics research. In the context of the present study, perceived usefulness corresponds to the construct of self-rated work efficiency assessed in Hypothesis 1, while the determinants of perceived ease of use are partially captured by nurses’ educational background (Hypothesis 2) and accumulated clinical experience (Hypothesis 3).</w:t>
      </w:r>
    </w:p>
    <w:p>
      <w:pPr>
        <w:pStyle w:val="BodyText"/>
        <w:jc w:val="both"/>
        <w:spacing w:line="360" w:lineRule="auto"/>
      </w:pPr>
      <w:r>
        <w:rPr>
          <w:rFonts w:ascii="Times New Roman" w:hAnsi="Times New Roman"/>
          <w:sz w:val="24"/>
        </w:rPr>
        <w:t xml:space="preserve">The Unified Theory of Acceptance and Use of Technology (UTAUT), developed by Venkatesh, Morris, Davis and Davis (2003), extends TAM by integrating four core determinants of adoption intention — performance expectancy, effort expectancy, social influence, and facilitating conditions — and by explicitly incorporating moderating roles for age, gender, experience, and voluntariness of use. The explicit inclusion of experience as a moderating variable renders UTAUT particularly apposite for the investigation of H3, which concerns the relationship between years of clinical practice and nurses’ attitudinal orientation toward digital technologies. Multiple studies in nursing informatics have found that effort expectancy carries greater weight among older and more experienced workers, whose accumulated non-digital work routines create higher switching costs when new technologies are introduced (Han, Kim, Ryu &amp; Shin, 2024; Bartosiewicz, Burzyňska &amp; Januszewicz, 2021).</w:t>
      </w:r>
    </w:p>
    <w:p>
      <w:pPr>
        <w:pStyle w:val="BodyText"/>
        <w:jc w:val="both"/>
        <w:spacing w:line="360" w:lineRule="auto"/>
      </w:pPr>
      <w:r>
        <w:rPr>
          <w:rFonts w:ascii="Times New Roman" w:hAnsi="Times New Roman"/>
          <w:sz w:val="24"/>
        </w:rPr>
        <w:t xml:space="preserve">Rogers’ (2003) Diffusion of Innovations theory provides a complementary macro-level perspective by framing technology adoption as a process distributed across a social system over time. Rogers classifies adopters into five categories — innovators, early adopters, early majority, late majority, and laggards — whose proportional representation and sequential engagement with a technology determine the overall adoption rate. Crucially, Rogers identifies five attributes of an innovation that affect its rate of diffusion: relative advantage, compatibility with existing values and practices, complexity, trialability, and observability. Applied to the Slovak nursing context, Diffusion of Innovations explains why EHR uptake may vary across clinical departments and institutional settings, and provides a theoretical basis for understanding the distribution of technology use frequencies observed in the survey data. The model also contextualises the critical role of peer champions — nurses who serve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superusers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 opinion leaders within their units — in accelerating technology diffusion beyond early adopters (Corbett et al., 2025).</w:t>
      </w:r>
    </w:p>
    <w:p>
      <w:pPr>
        <w:pStyle w:val="BodyText"/>
        <w:jc w:val="both"/>
        <w:spacing w:line="360" w:lineRule="auto"/>
      </w:pPr>
      <w:r>
        <w:rPr>
          <w:rFonts w:ascii="Times New Roman" w:hAnsi="Times New Roman"/>
          <w:sz w:val="24"/>
        </w:rPr>
        <w:t xml:space="preserve">Together, these three frameworks generate an integrated conceptual model in which individual nurses’ perceptions of digital tools (TAM), moderated by their educational credentials and clinical experience (UTAUT), determine adoption behaviours that diffuse through institutional and professional social systems at rates shaped by the perceived characteristics of the tools themselves (Diffusion of Innovations). This multi-level theoretical architecture provides the interpretive lens through which both descriptive findings and hypothesis test results are analysed in the subsequent chapters.</w:t>
      </w:r>
    </w:p>
    <w:bookmarkEnd w:id="23"/>
    <w:bookmarkStart w:id="24" w:name="research-gap"/>
    <w:p>
      <w:pPr>
        <w:pStyle w:val="Heading3"/>
        <w:jc w:val="left"/>
        <w:spacing w:line="360" w:lineRule="auto"/>
      </w:pPr>
      <w:r>
        <w:rPr>
          <w:rFonts w:ascii="Times New Roman" w:hAnsi="Times New Roman"/>
          <w:b/>
          <w:sz w:val="24"/>
        </w:rPr>
        <w:t xml:space="preserve">1.4 Research Gap</w:t>
      </w:r>
    </w:p>
    <w:p>
      <w:pPr>
        <w:pStyle w:val="FirstParagraph"/>
        <w:jc w:val="both"/>
        <w:spacing w:line="360" w:lineRule="auto"/>
      </w:pPr>
      <w:r>
        <w:rPr>
          <w:rFonts w:ascii="Times New Roman" w:hAnsi="Times New Roman"/>
          <w:sz w:val="24"/>
        </w:rPr>
        <w:t xml:space="preserve">The published literature on digital technology adoption in nursing is extensive but geographically and contextually uneven. Systematic reviews and umbrella reviews (Walzer et al., 2025; Nascimento et al., 2023) aggregate evidence predominantly from high-income English-speaking countries, Scandinavian healthcare systems, and East Asian contexts. Central European countries — Slovakia, Czechia, Hungary, Poland — are represented sparsely, and in the cases where they do appear, the research focuses predominantly on physician rather than nursing populations (Girasek et al., 2024) or on nursing student rather than practising clinical nurse samples (Pajari et al., 2025). The sole major Slovak-adjacent study identified through systematic search — the cross-sectional survey by Bartosiewicz, Burzyňska and Januszewicz (2021) of 849 nurses in southeastern Poland — provides valuable CEE-region data but cannot be assumed to reflect the Slovak institutional context directly, given Poland’s different IT infrastructure trajectory, different nursing education system structure, and different eHealth regulatory environment.</w:t>
      </w:r>
    </w:p>
    <w:p>
      <w:pPr>
        <w:pStyle w:val="BodyText"/>
        <w:jc w:val="both"/>
        <w:spacing w:line="360" w:lineRule="auto"/>
      </w:pPr>
      <w:r>
        <w:rPr>
          <w:rFonts w:ascii="Times New Roman" w:hAnsi="Times New Roman"/>
          <w:sz w:val="24"/>
        </w:rPr>
        <w:t xml:space="preserve">Within Slovakia, no peer-reviewed cross-sectional survey of clinical nurses’ digital tool use frequency, technology attitudes, or perceived impact of digital tools on care quality and efficiency was identified in any of the eight systematic search processes conducted for this thesis. The available Slovak-language publications on eHealth are predominantly policy documents, institutional reports, or descriptive overviews of the eZdravie infrastructure, rather than empirical studies of clinical staff behaviour. This constitutes a genuine and substantial research gap that the present study is positioned to address.</w:t>
      </w:r>
    </w:p>
    <w:p>
      <w:pPr>
        <w:pStyle w:val="BodyText"/>
        <w:jc w:val="both"/>
        <w:spacing w:line="360" w:lineRule="auto"/>
      </w:pPr>
      <w:r>
        <w:rPr>
          <w:rFonts w:ascii="Times New Roman" w:hAnsi="Times New Roman"/>
          <w:sz w:val="24"/>
        </w:rPr>
        <w:t xml:space="preserve">The gap is further sharpened by the particular structure of the Slovak nursing workforce. Slovakia’s nursing education system produces graduates at two principal qualification levels — secondary vocational (maturita) and higher education (Bc., Mgr.) — whose curricula may differ substantially in informatics content. UTAUT and TAM-based research in other countries suggests that educational level is a significant predictor of both digital competency and frequency of technology use in clinical practice (Hariyati et al., 2024; Comparcini et al., 2025; Pajari et al., 2025); whether this relationship holds in the Slovak clinical nursing population has not been empirically tested. Similarly, the Slovak nursing workforce is ageing — a trend shared across Central Europe — and the relationship between clinical seniority and technology attitudes has significant implications for workforce planning and continuing professional development priorities that remain empirically uncharted in the Slovak context.</w:t>
      </w:r>
    </w:p>
    <w:bookmarkEnd w:id="24"/>
    <w:bookmarkStart w:id="25" w:name="research-purpose-and-questions"/>
    <w:p>
      <w:pPr>
        <w:pStyle w:val="Heading3"/>
        <w:jc w:val="left"/>
        <w:spacing w:line="360" w:lineRule="auto"/>
      </w:pPr>
      <w:r>
        <w:rPr>
          <w:rFonts w:ascii="Times New Roman" w:hAnsi="Times New Roman"/>
          <w:b/>
          <w:sz w:val="24"/>
        </w:rPr>
        <w:t xml:space="preserve">1.5 Research Purpose and Questions</w:t>
      </w:r>
    </w:p>
    <w:p>
      <w:pPr>
        <w:pStyle w:val="FirstParagraph"/>
        <w:jc w:val="both"/>
        <w:spacing w:line="360" w:lineRule="auto"/>
      </w:pPr>
      <w:r>
        <w:rPr>
          <w:rFonts w:ascii="Times New Roman" w:hAnsi="Times New Roman"/>
          <w:sz w:val="24"/>
        </w:rPr>
        <w:t xml:space="preserve">The primary purpose of this study is to analyse the use of modern technologies and digital tools in nursing practice in Slovakia, with a focus on the frequency and types of tools used in clinical settings, nurses’ perceived impact of these tools on work efficiency and patient care quality, and the relationship between nurses’ professional and educational characteristics and their technology-related attitudes and behaviours.</w:t>
      </w:r>
    </w:p>
    <w:p>
      <w:pPr>
        <w:pStyle w:val="BodyText"/>
        <w:jc w:val="both"/>
        <w:spacing w:line="360" w:lineRule="auto"/>
      </w:pPr>
      <w:r>
        <w:rPr>
          <w:rFonts w:ascii="Times New Roman" w:hAnsi="Times New Roman"/>
          <w:sz w:val="24"/>
        </w:rPr>
        <w:t xml:space="preserve">This primary goal is operationalised through five partial research goals. The first is to determine the frequency and types of digital tools used by nurses in their daily clinical practice across inpatient and outpatient settings. The second is to assess nurses’ self-rated perception of the impact of digital tools on their personal work efficiency. The third is to examine nurses’ attitudes toward digital technology implementation in healthcare facilities. The fourth is to determine the impact of digital tools on work efficiency, communication, and quality of care as perceived by nursing staff. The fifth is to assess nurses’ evaluation of the impact of modern technologies on the quality, safety, and continuity of nursing care.</w:t>
      </w:r>
    </w:p>
    <w:p>
      <w:pPr>
        <w:pStyle w:val="BodyText"/>
        <w:jc w:val="both"/>
        <w:spacing w:line="360" w:lineRule="auto"/>
      </w:pPr>
      <w:r>
        <w:rPr>
          <w:rFonts w:ascii="Times New Roman" w:hAnsi="Times New Roman"/>
          <w:sz w:val="24"/>
        </w:rPr>
        <w:t xml:space="preserve">Four research hypotheses guide the inferential component of the study and were formulated on the basis of the theoretical frameworks and empirical literature reviewed above.</w:t>
      </w:r>
    </w:p>
    <w:p>
      <w:pPr>
        <w:pStyle w:val="BodyText"/>
        <w:jc w:val="both"/>
        <w:spacing w:line="360" w:lineRule="auto"/>
      </w:pPr>
      <w:r>
        <w:rPr>
          <w:rFonts w:ascii="Times New Roman" w:hAnsi="Times New Roman"/>
          <w:sz w:val="24"/>
        </w:rPr>
        <w:t xml:space="preserve">Hypothesis 1 (H1) states that there is a statistically significant relationship between the frequency of digital tool use and nurses’ self-rated work efficiency. This hypothesis is grounded in the TAM construct of perceived usefulness and in the empirical finding that nurses who engage with digital tools more frequently tend to report higher perceived efficiency gains, suggesting that familiarity and habituation mediate the relationship between tool use and efficiency appraisal (Xie, Zhang &amp; Zhu, 2025; Upadhyay &amp; Hu, 2022).</w:t>
      </w:r>
    </w:p>
    <w:p>
      <w:pPr>
        <w:pStyle w:val="BodyText"/>
        <w:jc w:val="both"/>
        <w:spacing w:line="360" w:lineRule="auto"/>
      </w:pPr>
      <w:r>
        <w:rPr>
          <w:rFonts w:ascii="Times New Roman" w:hAnsi="Times New Roman"/>
          <w:sz w:val="24"/>
        </w:rPr>
        <w:t xml:space="preserve">Hypothesis 2 (H2) states that nurses with higher education — at bachelor’s degree level or above — use modern technologies more frequently than nurses who completed secondary vocational nursing education. This hypothesis is theoretically grounded in the TIGER nursing informatics competency framework, the DigComp framework, and Human Capital Theory, and is empirically supported by evidence from multiple cross-sectional studies demonstrating a positive association between formal educational credential level and both digital competency scores and frequency of digital tool use in clinical practice (Hariyati et al., 2024; Comparcini et al., 2025; Pajari et al., 2025).</w:t>
      </w:r>
    </w:p>
    <w:p>
      <w:pPr>
        <w:pStyle w:val="BodyText"/>
        <w:jc w:val="both"/>
        <w:spacing w:line="360" w:lineRule="auto"/>
      </w:pPr>
      <w:r>
        <w:rPr>
          <w:rFonts w:ascii="Times New Roman" w:hAnsi="Times New Roman"/>
          <w:sz w:val="24"/>
        </w:rPr>
        <w:t xml:space="preserve">Hypothesis 3 (H3) states that there is a statistically significant relationship between years of clinical experience and attitude toward digital technologies in nursing practice. This hypothesis reflects the UTAUT prediction that effort expectancy — the perceived cognitive and physical effort required to use a technology — carries increasing weight as a barrier to adoption among more experienced workers whose established clinical routines represent higher switching costs. The Polish cross-sectional study by Bartosiewicz, Burzyňska and Januszewicz (2021) and the Hungarian physician survey by Girasek et al. (2024) both confirm age and years of practice as significant predictors of digital health attitudes in CEE healthcare populations, providing the regional empirical basis for this hypothesis.</w:t>
      </w:r>
    </w:p>
    <w:p>
      <w:pPr>
        <w:pStyle w:val="BodyText"/>
        <w:jc w:val="both"/>
        <w:spacing w:line="360" w:lineRule="auto"/>
      </w:pPr>
      <w:r>
        <w:rPr>
          <w:rFonts w:ascii="Times New Roman" w:hAnsi="Times New Roman"/>
          <w:sz w:val="24"/>
        </w:rPr>
        <w:t xml:space="preserve">Hypothesis 4 (H4) states that more than fifty percent of nurses rate EHR systems as contributing to improved quality and safety of patient care. This directional proportion hypothesis is informed by systematic review evidence demonstrating that EHR-mediated clinical decision support and electronic medication management systems are associated with reductions of up to fifty-four percent in medication errors and substantial improvements in care coordination and patient safety outcomes (Insani et al., 2025; Syrowatka et al., 2024; Lazzari, 2024). The hypothesis tests whether Slovak nurses’ subjective assessments align with the objective outcome evidence documented in the international literature.</w:t>
      </w:r>
    </w:p>
    <w:bookmarkEnd w:id="25"/>
    <w:bookmarkStart w:id="26" w:name="thesis-organisation"/>
    <w:p>
      <w:pPr>
        <w:pStyle w:val="Heading3"/>
        <w:jc w:val="left"/>
        <w:spacing w:line="360" w:lineRule="auto"/>
      </w:pPr>
      <w:r>
        <w:rPr>
          <w:rFonts w:ascii="Times New Roman" w:hAnsi="Times New Roman"/>
          <w:b/>
          <w:sz w:val="24"/>
        </w:rPr>
        <w:t xml:space="preserve">1.6 Thesis Organisation</w:t>
      </w:r>
    </w:p>
    <w:p>
      <w:pPr>
        <w:pStyle w:val="FirstParagraph"/>
        <w:jc w:val="both"/>
        <w:spacing w:line="360" w:lineRule="auto"/>
      </w:pPr>
      <w:r>
        <w:rPr>
          <w:rFonts w:ascii="Times New Roman" w:hAnsi="Times New Roman"/>
          <w:sz w:val="24"/>
        </w:rPr>
        <w:t xml:space="preserve">This thesis is organised into six chapters, each addressing a distinct phase of the research process while contributing to the overarching analytical argument.</w:t>
      </w:r>
    </w:p>
    <w:p>
      <w:pPr>
        <w:pStyle w:val="BodyText"/>
        <w:jc w:val="both"/>
        <w:spacing w:line="360" w:lineRule="auto"/>
      </w:pPr>
      <w:r>
        <w:rPr>
          <w:rFonts w:ascii="Times New Roman" w:hAnsi="Times New Roman"/>
          <w:sz w:val="24"/>
        </w:rPr>
        <w:t xml:space="preserve">Chapter 1, the present chapter, situates the study within the global and Slovak contexts of healthcare digitalisation, identifies the research gap it addresses, presents the theoretical framework guiding the investigation, and formally states the research goals and hypotheses.</w:t>
      </w:r>
    </w:p>
    <w:p>
      <w:pPr>
        <w:pStyle w:val="BodyText"/>
        <w:jc w:val="both"/>
        <w:spacing w:line="360" w:lineRule="auto"/>
      </w:pPr>
      <w:r>
        <w:rPr>
          <w:rFonts w:ascii="Times New Roman" w:hAnsi="Times New Roman"/>
          <w:sz w:val="24"/>
        </w:rPr>
        <w:t xml:space="preserve">Chapter 2 provides the theoretical and empirical background. It elaborates the conceptual definitions of key terms — digital health, health informatics, nursing informatics, eHealth, and mHealth — and reviews the international literature on the principal digital tool categories relevant to nursing practice: electronic health records, telemedicine, mobile health applications, and smart monitoring systems. The chapter then synthesises empirical evidence on nurses’ attitudes toward digital technologies and on the impact of digitalisation on care quality, safety, and continuity, and closes with a presentation of the research model and hypotheses as derived from this literature.</w:t>
      </w:r>
    </w:p>
    <w:p>
      <w:pPr>
        <w:pStyle w:val="BodyText"/>
        <w:jc w:val="both"/>
        <w:spacing w:line="360" w:lineRule="auto"/>
      </w:pPr>
      <w:r>
        <w:rPr>
          <w:rFonts w:ascii="Times New Roman" w:hAnsi="Times New Roman"/>
          <w:sz w:val="24"/>
        </w:rPr>
        <w:t xml:space="preserve">Chapter 3 describes the research methodology in detail. It specifies the quantitative, non-experimental, cross-sectional survey design adopted for the study; the composition and derivation of the research sample; the construction, content validity assessment, and pilot testing of the non-standardised research questionnaire; the procedures for data collection across inpatient and outpatient settings; and the statistical methods applied in data analysis, including descriptive statistics, the Pearson Chi-square test of independence, and the one-sample z-test for proportions.</w:t>
      </w:r>
    </w:p>
    <w:p>
      <w:pPr>
        <w:pStyle w:val="BodyText"/>
        <w:jc w:val="both"/>
        <w:spacing w:line="360" w:lineRule="auto"/>
      </w:pPr>
      <w:r>
        <w:rPr>
          <w:rFonts w:ascii="Times New Roman" w:hAnsi="Times New Roman"/>
          <w:sz w:val="24"/>
        </w:rPr>
        <w:t xml:space="preserve">Chapter 4 presents the results of the empirical investigation. Findings are reported objectively through descriptive statistics, frequency distributions, cross-tabulations, and the outcomes of inferential tests for each of the four hypotheses, supported by tables and graphical displays. Chapter 4 contains no interpretation of findings; this is reserved for the subsequent chapter.</w:t>
      </w:r>
    </w:p>
    <w:p>
      <w:pPr>
        <w:pStyle w:val="BodyText"/>
        <w:jc w:val="both"/>
        <w:spacing w:line="360" w:lineRule="auto"/>
      </w:pPr>
      <w:r>
        <w:rPr>
          <w:rFonts w:ascii="Times New Roman" w:hAnsi="Times New Roman"/>
          <w:sz w:val="24"/>
        </w:rPr>
        <w:t xml:space="preserve">Chapter 5 provides a discussion of the results in relation to the theoretical framework and the prior empirical literature. Each hypothesis is evaluated in light of the statistical evidence obtained, and the findings are compared systematically with analogous studies from the international and Central European literature. The chapter addresses the theoretical and practical implications of the results, proposes concrete recommendations for nursing practice, nursing education, and healthcare policy in Slovakia, and identifies the study’s methodological limitations alongside directions for future research.</w:t>
      </w:r>
    </w:p>
    <w:p>
      <w:pPr>
        <w:pStyle w:val="BodyText"/>
        <w:jc w:val="both"/>
        <w:spacing w:line="360" w:lineRule="auto"/>
      </w:pPr>
      <w:r>
        <w:rPr>
          <w:rFonts w:ascii="Times New Roman" w:hAnsi="Times New Roman"/>
          <w:sz w:val="24"/>
        </w:rPr>
        <w:t xml:space="preserve">Chapter 6 concludes the thesis by summarising the extent to which the stated research goals were achieved and by situating the study’s contribution within the broader context of nursing informatics and healthcare digitalisation in Slovakia.</w:t>
      </w:r>
    </w:p>
    <w:p>
      <w:pPr>
        <w:pStyle w:val="BodyText"/>
        <w:jc w:val="both"/>
        <w:spacing w:line="360" w:lineRule="auto"/>
      </w:pPr>
      <w:r>
        <w:rPr>
          <w:rFonts w:ascii="Times New Roman" w:hAnsi="Times New Roman"/>
          <w:sz w:val="24"/>
        </w:rPr>
        <w:t xml:space="preserve">The thesis closes with a complete list of references formatted in accordance with the ISO 690 standard, and with appendices containing the full research questionnaire and any supplementary data tables.</w:t>
      </w:r>
    </w:p>
    <w:p>
      <w:pPr>
        <w:jc w:val="both"/>
        <w:spacing w:line="360" w:lineRule="auto"/>
      </w:pPr>
      <w:r>
        <w:rPr>
          <w:rFonts w:ascii="Times New Roman" w:hAnsi="Times New Roman"/>
          <w:sz w:val="24"/>
        </w:rPr>
        <w:pict>
          <v:rect style="width:0;height:1.5pt" o:hralign="center" o:hrstd="t" o:hr="t"/>
        </w:pict>
      </w:r>
    </w:p>
    <w:bookmarkEnd w:id="26"/>
    <w:bookmarkEnd w:id="27"/>
    <w:bookmarkStart w:id="38" w:name="chapter-3-research-methods"/>
    <w:p>
      <w:pPr>
        <w:pStyle w:val="Heading2"/>
        <w:jc w:val="left"/>
        <w:spacing w:line="360" w:lineRule="auto"/>
      </w:pPr>
      <w:r>
        <w:rPr>
          <w:rFonts w:ascii="Times New Roman" w:hAnsi="Times New Roman"/>
          <w:b/>
          <w:sz w:val="24"/>
        </w:rPr>
        <w:t xml:space="preserve">Chapter 3: Research Methods</w:t>
      </w:r>
    </w:p>
    <w:bookmarkStart w:id="28" w:name="research-type-and-approach"/>
    <w:p>
      <w:pPr>
        <w:pStyle w:val="Heading3"/>
        <w:jc w:val="left"/>
        <w:spacing w:line="360" w:lineRule="auto"/>
      </w:pPr>
      <w:r>
        <w:rPr>
          <w:rFonts w:ascii="Times New Roman" w:hAnsi="Times New Roman"/>
          <w:b/>
          <w:sz w:val="24"/>
        </w:rPr>
        <w:t xml:space="preserve">3.1 Research Type and Approach</w:t>
      </w:r>
    </w:p>
    <w:p>
      <w:pPr>
        <w:pStyle w:val="FirstParagraph"/>
        <w:jc w:val="both"/>
        <w:spacing w:line="360" w:lineRule="auto"/>
      </w:pPr>
      <w:r>
        <w:rPr>
          <w:rFonts w:ascii="Times New Roman" w:hAnsi="Times New Roman"/>
          <w:sz w:val="24"/>
        </w:rPr>
        <w:t xml:space="preserve">This study adopts a quantitative, non-experimental, descriptive-analytical design implemented through a cross-sectional survey. Quantitative methodology was selected because the primary objective is to measure the frequency and extent of digital tool use among nurses, to identify statistically significant relationships between demographic and professional variables and technology-related attitudes and behaviours, and to produce numerical data amenable to inferential testing. Quantitative survey designs are well established in health services research as the appropriate paradigm when the aim is to describe the distribution of a phenomenon across a defined population and to test directional hypotheses about associations among measured variables (Polit &amp; Beck, 2021).</w:t>
      </w:r>
    </w:p>
    <w:p>
      <w:pPr>
        <w:pStyle w:val="BodyText"/>
        <w:jc w:val="both"/>
        <w:spacing w:line="360" w:lineRule="auto"/>
      </w:pPr>
      <w:r>
        <w:rPr>
          <w:rFonts w:ascii="Times New Roman" w:hAnsi="Times New Roman"/>
          <w:sz w:val="24"/>
        </w:rPr>
        <w:t xml:space="preserve">A cross-sectional design was considered optimal given the practical constraints of time and resource availability at the master’s thesis level, and because no manipulation of variables is required or ethically appropriate in this context. The independent variables of primary interest — specifically the level of completed nursing education and the number of years of active clinical experience — are pre-existing, non-modifiable characteristics of respondents that are observed and recorded rather than experimentally assigned. A cross-sectional survey is the standard design for this type of prevalence and association research (Kelley et al., 2003).</w:t>
      </w:r>
    </w:p>
    <w:p>
      <w:pPr>
        <w:pStyle w:val="BodyText"/>
        <w:jc w:val="both"/>
        <w:spacing w:line="360" w:lineRule="auto"/>
      </w:pPr>
      <w:r>
        <w:rPr>
          <w:rFonts w:ascii="Times New Roman" w:hAnsi="Times New Roman"/>
          <w:sz w:val="24"/>
        </w:rPr>
        <w:t xml:space="preserve">The survey instrument takes the form of a non-standardised, self-constructed questionnaire developed specifically for this study. This decision reflects the absence of a validated Slovak-language instrument sufficiently tailored to the construct of digital technology use in contemporary nursing practice. While standardised scales exist for related constructs — most notably the Technology Acceptance Model (TAM) questionnaire (Davis, 1989) and various health informatics self-efficacy instruments — none of these tools adequately encompasses the full range of digital tools currently deployed in Slovak inpatient and outpatient nursing environments, including electronic health record (EHR) systems, clinical decision-support applications, telemedicine platforms, and mobile health devices. The construction of a purpose-built instrument also enabled precise alignment of item content with the specific research goals and hypotheses formulated for this investigation.</w:t>
      </w:r>
    </w:p>
    <w:bookmarkEnd w:id="28"/>
    <w:bookmarkStart w:id="29" w:name="research-problem-statement"/>
    <w:p>
      <w:pPr>
        <w:pStyle w:val="Heading3"/>
        <w:jc w:val="left"/>
        <w:spacing w:line="360" w:lineRule="auto"/>
      </w:pPr>
      <w:r>
        <w:rPr>
          <w:rFonts w:ascii="Times New Roman" w:hAnsi="Times New Roman"/>
          <w:b/>
          <w:sz w:val="24"/>
        </w:rPr>
        <w:t xml:space="preserve">3.2 Research Problem Statement</w:t>
      </w:r>
    </w:p>
    <w:p>
      <w:pPr>
        <w:pStyle w:val="FirstParagraph"/>
        <w:jc w:val="both"/>
        <w:spacing w:line="360" w:lineRule="auto"/>
      </w:pPr>
      <w:r>
        <w:rPr>
          <w:rFonts w:ascii="Times New Roman" w:hAnsi="Times New Roman"/>
          <w:sz w:val="24"/>
        </w:rPr>
        <w:t xml:space="preserve">The progressive integration of digital technologies into healthcare systems worldwide has fundamentally altered the scope and character of nursing practice. In Slovakia, the digitalisation of hospital and outpatient documentation, the introduction of national electronic health record infrastructure, and the increasing availability of mobile clinical applications have collectively imposed new cognitive and technical demands on the nursing workforce. Nurses are now required not only to acquire and maintain digital competencies alongside their clinical skills, but also to adapt to workflow changes driven by institutional technology adoption that may or may not be accompanied by adequate training.</w:t>
      </w:r>
    </w:p>
    <w:p>
      <w:pPr>
        <w:pStyle w:val="BodyText"/>
        <w:jc w:val="both"/>
        <w:spacing w:line="360" w:lineRule="auto"/>
      </w:pPr>
      <w:r>
        <w:rPr>
          <w:rFonts w:ascii="Times New Roman" w:hAnsi="Times New Roman"/>
          <w:sz w:val="24"/>
        </w:rPr>
        <w:t xml:space="preserve">Despite these developments, systematic empirical data on the actual frequency of digital tool use among Slovak nurses, the relationship between nurses’ educational background and their technology adoption behaviour, and nurses’ own evaluations of the impact of these tools on work efficiency and patient care quality remain scarce in the published literature. The evidence available in international sources is not straightforwardly transferable to the Slovak context, given the country’s specific pattern of healthcare IT infrastructure rollout, its particular nursing education system spanning secondary vocational and university pathways, and its distinct healthcare organisational structure. This evidence gap constrains evidence-based decision-making regarding nursing education curricula, workforce digital literacy programmes, and healthcare information technology investment priorities. The present study is designed to address this gap by conducting a systematic empirical survey of nurses working across inpatient and outpatient settings in Slovakia.</w:t>
      </w:r>
    </w:p>
    <w:bookmarkEnd w:id="29"/>
    <w:bookmarkStart w:id="30" w:name="research-goals"/>
    <w:p>
      <w:pPr>
        <w:pStyle w:val="Heading3"/>
        <w:jc w:val="left"/>
        <w:spacing w:line="360" w:lineRule="auto"/>
      </w:pPr>
      <w:r>
        <w:rPr>
          <w:rFonts w:ascii="Times New Roman" w:hAnsi="Times New Roman"/>
          <w:b/>
          <w:sz w:val="24"/>
        </w:rPr>
        <w:t xml:space="preserve">3.3 Research Goals</w:t>
      </w:r>
    </w:p>
    <w:p>
      <w:pPr>
        <w:pStyle w:val="FirstParagraph"/>
        <w:jc w:val="both"/>
        <w:spacing w:line="360" w:lineRule="auto"/>
      </w:pPr>
      <w:r>
        <w:rPr>
          <w:rFonts w:ascii="Times New Roman" w:hAnsi="Times New Roman"/>
          <w:sz w:val="24"/>
        </w:rPr>
        <w:t xml:space="preserve">The main research goal of this study is to analyse the use of modern technologies and digital tools in nursing practice in Slovakia, with a focus on the frequency and type of use, nurses’ perceived impact of these tools on work efficiency and patient care quality, and the relationship between nurses’ professional and educational characteristics and their technology-related attitudes and behaviours.</w:t>
      </w:r>
    </w:p>
    <w:p>
      <w:pPr>
        <w:pStyle w:val="BodyText"/>
        <w:jc w:val="both"/>
        <w:spacing w:line="360" w:lineRule="auto"/>
      </w:pPr>
      <w:r>
        <w:rPr>
          <w:rFonts w:ascii="Times New Roman" w:hAnsi="Times New Roman"/>
          <w:sz w:val="24"/>
        </w:rPr>
        <w:t xml:space="preserve">Five partial research goals guide the operationalisation of this main goal. The first partial goal is to determine the frequency and types of digital tools used by nurses in their daily clinical practice across inpatient and outpatient settings. The second is to assess nurses’ self-rated perception of the impact of digital tools on their personal work efficiency. The third is to examine whether a statistically significant relationship exists between the frequency of digital tool use and nurses’ self-rated work efficiency. The fourth is to compare the frequency of modern technology use between nurses with higher education (bachelor’s degree or above) and nurses with secondary vocational nursing education. The fifth is to determine what proportion of nurses perceive EHR systems as contributing to improved quality and safety of patient care, and to test whether this proportion exceeds fifty percent.</w:t>
      </w:r>
    </w:p>
    <w:bookmarkEnd w:id="30"/>
    <w:bookmarkStart w:id="31" w:name="research-hypotheses"/>
    <w:p>
      <w:pPr>
        <w:pStyle w:val="Heading3"/>
        <w:jc w:val="left"/>
        <w:spacing w:line="360" w:lineRule="auto"/>
      </w:pPr>
      <w:r>
        <w:rPr>
          <w:rFonts w:ascii="Times New Roman" w:hAnsi="Times New Roman"/>
          <w:b/>
          <w:sz w:val="24"/>
        </w:rPr>
        <w:t xml:space="preserve">3.4 Research Hypotheses</w:t>
      </w:r>
    </w:p>
    <w:p>
      <w:pPr>
        <w:pStyle w:val="FirstParagraph"/>
        <w:jc w:val="both"/>
        <w:spacing w:line="360" w:lineRule="auto"/>
      </w:pPr>
      <w:r>
        <w:rPr>
          <w:rFonts w:ascii="Times New Roman" w:hAnsi="Times New Roman"/>
          <w:sz w:val="24"/>
        </w:rPr>
        <w:t xml:space="preserve">Four research hypotheses were formulated on the basis of the theoretical framework established in the literature review and the identified empirical gaps in Slovak nursing informatics research. Each hypothesis is stated in its alternative (directional or existential) form; the corresponding null hypothesis of no association or no difference constitutes the form subjected to statistical testing, and is rejected if the calculated p-value falls below the pre-specified significance level of α = 0.05.</w:t>
      </w:r>
    </w:p>
    <w:p>
      <w:pPr>
        <w:pStyle w:val="BodyText"/>
        <w:jc w:val="both"/>
        <w:spacing w:line="360" w:lineRule="auto"/>
      </w:pPr>
      <w:r>
        <w:rPr>
          <w:rFonts w:ascii="Times New Roman" w:hAnsi="Times New Roman"/>
          <w:b/>
          <w:bCs/>
          <w:sz w:val="24"/>
        </w:rPr>
        <w:t xml:space="preserve">Hypothesis 1 (H1):</w:t>
      </w:r>
      <w:r>
        <w:rPr>
          <w:rFonts w:ascii="Times New Roman" w:hAnsi="Times New Roman"/>
          <w:sz w:val="24"/>
        </w:rPr>
        <w:t xml:space="preserve"> </w:t>
      </w:r>
      <w:r>
        <w:rPr>
          <w:rFonts w:ascii="Times New Roman" w:hAnsi="Times New Roman"/>
          <w:sz w:val="24"/>
        </w:rPr>
        <w:t xml:space="preserve">There is a statistically significant relationship between the frequency of digital tool use and nurses’ self-rated work efficiency.</w:t>
      </w:r>
    </w:p>
    <w:p>
      <w:pPr>
        <w:pStyle w:val="BodyText"/>
        <w:jc w:val="both"/>
        <w:spacing w:line="360" w:lineRule="auto"/>
      </w:pPr>
      <w:r>
        <w:rPr>
          <w:rFonts w:ascii="Times New Roman" w:hAnsi="Times New Roman"/>
          <w:sz w:val="24"/>
        </w:rPr>
        <w:t xml:space="preserve">For the purposes of this hypothesis, frequency of digital tool use is operationalised as the respondent’s self-reported frequency of using any digital tool — including EHR systems, clinical decision-support applications, telemedicine platforms, mobile health applications, and diagnostic devices with digital interfaces — in clinical practice, measured on a five-point ordinal scale ranging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never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several times per day.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Self-rated work efficiency is operationalised as the respondent’s overall subjective assessment of how digital tools affect their personal work efficiency, measured on a five-point Likert scale ranging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markedly decreases efficiency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markedly increases efficiency.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statistically significant relationship is defined as a Chi-square test result yielding a p-value below 0.05.</w:t>
      </w:r>
    </w:p>
    <w:p>
      <w:pPr>
        <w:pStyle w:val="BodyText"/>
        <w:jc w:val="both"/>
        <w:spacing w:line="360" w:lineRule="auto"/>
      </w:pPr>
      <w:r>
        <w:rPr>
          <w:rFonts w:ascii="Times New Roman" w:hAnsi="Times New Roman"/>
          <w:b/>
          <w:bCs/>
          <w:sz w:val="24"/>
        </w:rPr>
        <w:t xml:space="preserve">Hypothesis 2 (H2):</w:t>
      </w:r>
      <w:r>
        <w:rPr>
          <w:rFonts w:ascii="Times New Roman" w:hAnsi="Times New Roman"/>
          <w:sz w:val="24"/>
        </w:rPr>
        <w:t xml:space="preserve"> </w:t>
      </w:r>
      <w:r>
        <w:rPr>
          <w:rFonts w:ascii="Times New Roman" w:hAnsi="Times New Roman"/>
          <w:sz w:val="24"/>
        </w:rPr>
        <w:t xml:space="preserve">Nurses with higher education (bachelor’s degree or above) use modern technologies more frequently than nurses with secondary vocational nursing education.</w:t>
      </w:r>
    </w:p>
    <w:p>
      <w:pPr>
        <w:pStyle w:val="BodyText"/>
        <w:jc w:val="both"/>
        <w:spacing w:line="360" w:lineRule="auto"/>
      </w:pPr>
      <w:r>
        <w:rPr>
          <w:rFonts w:ascii="Times New Roman" w:hAnsi="Times New Roman"/>
          <w:sz w:val="24"/>
        </w:rPr>
        <w:t xml:space="preserve">Level of education is operationalised as a dichotomous variable derived from the respondent’s self-reported highest completed nursing qualification: (a) secondary vocational education (Slovak:</w:t>
      </w:r>
      <w:r>
        <w:rPr>
          <w:rFonts w:ascii="Times New Roman" w:hAnsi="Times New Roman"/>
          <w:sz w:val="24"/>
        </w:rPr>
        <w:t xml:space="preserve"> </w:t>
      </w:r>
      <w:r>
        <w:rPr>
          <w:rFonts w:ascii="Times New Roman" w:hAnsi="Times New Roman"/>
          <w:i/>
          <w:iCs/>
          <w:sz w:val="24"/>
        </w:rPr>
        <w:t xml:space="preserve">stredoškolské vzdelanie</w:t>
      </w:r>
      <w:r>
        <w:rPr>
          <w:rFonts w:ascii="Times New Roman" w:hAnsi="Times New Roman"/>
          <w:sz w:val="24"/>
        </w:rPr>
        <w:t xml:space="preserve"> </w:t>
      </w:r>
      <w:r>
        <w:rPr>
          <w:rFonts w:ascii="Times New Roman" w:hAnsi="Times New Roman"/>
          <w:sz w:val="24"/>
        </w:rPr>
        <w:t xml:space="preserve">— maturita) and (b) higher education, encompassing bachelor’s (Bc.), master’s (Mgr.), or doctoral (PhD.) degree programmes. Frequency of digital tool use is operationalised as described under H1. For the purposes of Chi-square analysis, the five-point frequency scale is collapsed into two ordinal categories: lower frequency (responses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never,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rarely,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occasionally</w:t>
      </w:r>
      <w:r>
        <w:rPr>
          <w:rFonts w:ascii="Times New Roman" w:hAnsi="Times New Roman"/>
          <w:sz w:val="24"/>
        </w:rPr>
        <w:t xml:space="preserve">”</w:t>
      </w:r>
      <w:r>
        <w:rPr>
          <w:rFonts w:ascii="Times New Roman" w:hAnsi="Times New Roman"/>
          <w:sz w:val="24"/>
        </w:rPr>
        <w:t xml:space="preserve">) and higher frequency (responses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often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several times per day</w:t>
      </w:r>
      <w:r>
        <w:rPr>
          <w:rFonts w:ascii="Times New Roman" w:hAnsi="Times New Roman"/>
          <w:sz w:val="24"/>
        </w:rPr>
        <w:t xml:space="preserve">”</w:t>
      </w:r>
      <w:r>
        <w:rPr>
          <w:rFonts w:ascii="Times New Roman" w:hAnsi="Times New Roman"/>
          <w:sz w:val="24"/>
        </w:rPr>
        <w:t xml:space="preserve">).</w:t>
      </w:r>
    </w:p>
    <w:p>
      <w:pPr>
        <w:pStyle w:val="BodyText"/>
        <w:jc w:val="both"/>
        <w:spacing w:line="360" w:lineRule="auto"/>
      </w:pPr>
      <w:r>
        <w:rPr>
          <w:rFonts w:ascii="Times New Roman" w:hAnsi="Times New Roman"/>
          <w:b/>
          <w:bCs/>
          <w:sz w:val="24"/>
        </w:rPr>
        <w:t xml:space="preserve">Hypothesis 3 (H3):</w:t>
      </w:r>
      <w:r>
        <w:rPr>
          <w:rFonts w:ascii="Times New Roman" w:hAnsi="Times New Roman"/>
          <w:sz w:val="24"/>
        </w:rPr>
        <w:t xml:space="preserve"> </w:t>
      </w:r>
      <w:r>
        <w:rPr>
          <w:rFonts w:ascii="Times New Roman" w:hAnsi="Times New Roman"/>
          <w:sz w:val="24"/>
        </w:rPr>
        <w:t xml:space="preserve">There is a statistically significant relationship between years of clinical experience and attitude toward digital technologies in nursing practice.</w:t>
      </w:r>
    </w:p>
    <w:p>
      <w:pPr>
        <w:pStyle w:val="BodyText"/>
        <w:jc w:val="both"/>
        <w:spacing w:line="360" w:lineRule="auto"/>
      </w:pPr>
      <w:r>
        <w:rPr>
          <w:rFonts w:ascii="Times New Roman" w:hAnsi="Times New Roman"/>
          <w:sz w:val="24"/>
        </w:rPr>
        <w:t xml:space="preserve">Years of clinical experience is operationalised as the respondent’s self-reported total duration of active nursing practice, recorded in years and subsequently categorised into four bands: 0–5 years, 6–10 years, 11–20 years, and more than 20 years. Attitude toward digital technologies is operationalised as the respondent’s overall attitudinal orientation toward the use of digital tools in nursing, measured on a five-point Likert scale ranging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strongly negative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strongly positive,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subsequently collapsed into three categories (negative, neutral, positive) for Chi-square analysis.</w:t>
      </w:r>
    </w:p>
    <w:p>
      <w:pPr>
        <w:pStyle w:val="BodyText"/>
        <w:jc w:val="both"/>
        <w:spacing w:line="360" w:lineRule="auto"/>
      </w:pPr>
      <w:r>
        <w:rPr>
          <w:rFonts w:ascii="Times New Roman" w:hAnsi="Times New Roman"/>
          <w:b/>
          <w:bCs/>
          <w:sz w:val="24"/>
        </w:rPr>
        <w:t xml:space="preserve">Hypothesis 4 (H4):</w:t>
      </w:r>
      <w:r>
        <w:rPr>
          <w:rFonts w:ascii="Times New Roman" w:hAnsi="Times New Roman"/>
          <w:sz w:val="24"/>
        </w:rPr>
        <w:t xml:space="preserve"> </w:t>
      </w:r>
      <w:r>
        <w:rPr>
          <w:rFonts w:ascii="Times New Roman" w:hAnsi="Times New Roman"/>
          <w:sz w:val="24"/>
        </w:rPr>
        <w:t xml:space="preserve">More than fifty percent of nurses rate EHR systems as contributing to improved quality and safety of patient care.</w:t>
      </w:r>
    </w:p>
    <w:p>
      <w:pPr>
        <w:pStyle w:val="BodyText"/>
        <w:jc w:val="both"/>
        <w:spacing w:line="360" w:lineRule="auto"/>
      </w:pPr>
      <w:r>
        <w:rPr>
          <w:rFonts w:ascii="Times New Roman" w:hAnsi="Times New Roman"/>
          <w:sz w:val="24"/>
        </w:rPr>
        <w:t xml:space="preserve">This hypothesis concerns a single population proportion rather than an association between two variables, and accordingly requires a different analytical approach from H1 through H3. The relevant questionnaire item asks respondents to rate the contribution of EHR systems to the quality and safety of patient care on a five-point scale: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markedly worsens,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somewhat worsens,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no change,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somewhat improves,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markedly improves.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positive assessment is operationalised as the selection of either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somewhat improves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markedly improves.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hypothesis is evaluated by calculating the observed proportion of respondents providing a positive rating and testing it against the null-hypothesis threshold of 50% using a one-sample z-test for proportions at the significance level of α = 0.05, one-tailed.</w:t>
      </w:r>
    </w:p>
    <w:bookmarkEnd w:id="31"/>
    <w:bookmarkStart w:id="32" w:name="research-sample"/>
    <w:p>
      <w:pPr>
        <w:pStyle w:val="Heading3"/>
        <w:jc w:val="left"/>
        <w:spacing w:line="360" w:lineRule="auto"/>
      </w:pPr>
      <w:r>
        <w:rPr>
          <w:rFonts w:ascii="Times New Roman" w:hAnsi="Times New Roman"/>
          <w:b/>
          <w:sz w:val="24"/>
        </w:rPr>
        <w:t xml:space="preserve">3.5 Research Sample</w:t>
      </w:r>
    </w:p>
    <w:p>
      <w:pPr>
        <w:pStyle w:val="FirstParagraph"/>
        <w:jc w:val="both"/>
        <w:spacing w:line="360" w:lineRule="auto"/>
      </w:pPr>
      <w:r>
        <w:rPr>
          <w:rFonts w:ascii="Times New Roman" w:hAnsi="Times New Roman"/>
          <w:b/>
          <w:bCs/>
          <w:sz w:val="24"/>
        </w:rPr>
        <w:t xml:space="preserve">Target Population.</w:t>
      </w:r>
      <w:r>
        <w:rPr>
          <w:rFonts w:ascii="Times New Roman" w:hAnsi="Times New Roman"/>
          <w:sz w:val="24"/>
        </w:rPr>
        <w:t xml:space="preserve"> </w:t>
      </w:r>
      <w:r>
        <w:rPr>
          <w:rFonts w:ascii="Times New Roman" w:hAnsi="Times New Roman"/>
          <w:sz w:val="24"/>
        </w:rPr>
        <w:t xml:space="preserve">The target population for this study consists of all registered nurses (Slovak:</w:t>
      </w:r>
      <w:r>
        <w:rPr>
          <w:rFonts w:ascii="Times New Roman" w:hAnsi="Times New Roman"/>
          <w:sz w:val="24"/>
        </w:rPr>
        <w:t xml:space="preserve"> </w:t>
      </w:r>
      <w:r>
        <w:rPr>
          <w:rFonts w:ascii="Times New Roman" w:hAnsi="Times New Roman"/>
          <w:i/>
          <w:iCs/>
          <w:sz w:val="24"/>
        </w:rPr>
        <w:t xml:space="preserve">diplomovaná sestra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všeobecná sestra</w:t>
      </w:r>
      <w:r>
        <w:rPr>
          <w:rFonts w:ascii="Times New Roman" w:hAnsi="Times New Roman"/>
          <w:sz w:val="24"/>
        </w:rPr>
        <w:t xml:space="preserve">) actively employed in inpatient healthcare facilities — hospitals and inpatient rehabilitation centres — or outpatient clinics (</w:t>
      </w:r>
      <w:r>
        <w:rPr>
          <w:rFonts w:ascii="Times New Roman" w:hAnsi="Times New Roman"/>
          <w:i/>
          <w:iCs/>
          <w:sz w:val="24"/>
        </w:rPr>
        <w:t xml:space="preserve">ambulancie</w:t>
      </w:r>
      <w:r>
        <w:rPr>
          <w:rFonts w:ascii="Times New Roman" w:hAnsi="Times New Roman"/>
          <w:sz w:val="24"/>
        </w:rPr>
        <w:t xml:space="preserve">) in Slovakia at the time of data collection.</w:t>
      </w:r>
    </w:p>
    <w:p>
      <w:pPr>
        <w:pStyle w:val="BodyText"/>
        <w:jc w:val="both"/>
        <w:spacing w:line="360" w:lineRule="auto"/>
      </w:pPr>
      <w:r>
        <w:rPr>
          <w:rFonts w:ascii="Times New Roman" w:hAnsi="Times New Roman"/>
          <w:b/>
          <w:bCs/>
          <w:sz w:val="24"/>
        </w:rPr>
        <w:t xml:space="preserve">Inclusion Criteria.</w:t>
      </w:r>
      <w:r>
        <w:rPr>
          <w:rFonts w:ascii="Times New Roman" w:hAnsi="Times New Roman"/>
          <w:sz w:val="24"/>
        </w:rPr>
        <w:t xml:space="preserve"> </w:t>
      </w:r>
      <w:r>
        <w:rPr>
          <w:rFonts w:ascii="Times New Roman" w:hAnsi="Times New Roman"/>
          <w:sz w:val="24"/>
        </w:rPr>
        <w:t xml:space="preserve">To be eligible for participation, respondents were required to satisfy all of the following criteria: completion of nursing education at secondary vocational level or higher; active clinical employment in an inpatient or outpatient nursing position at the time of survey completion; a minimum of one year of active clinical nursing experience; and voluntary participation with provision of informed consent.</w:t>
      </w:r>
    </w:p>
    <w:p>
      <w:pPr>
        <w:pStyle w:val="BodyText"/>
        <w:jc w:val="both"/>
        <w:spacing w:line="360" w:lineRule="auto"/>
      </w:pPr>
      <w:r>
        <w:rPr>
          <w:rFonts w:ascii="Times New Roman" w:hAnsi="Times New Roman"/>
          <w:b/>
          <w:bCs/>
          <w:sz w:val="24"/>
        </w:rPr>
        <w:t xml:space="preserve">Exclusion Criteria.</w:t>
      </w:r>
      <w:r>
        <w:rPr>
          <w:rFonts w:ascii="Times New Roman" w:hAnsi="Times New Roman"/>
          <w:sz w:val="24"/>
        </w:rPr>
        <w:t xml:space="preserve"> </w:t>
      </w:r>
      <w:r>
        <w:rPr>
          <w:rFonts w:ascii="Times New Roman" w:hAnsi="Times New Roman"/>
          <w:sz w:val="24"/>
        </w:rPr>
        <w:t xml:space="preserve">Nurses on long-term sick leave, parental leave, or administrative leave at the time of data collection were excluded, as their current contact with digital clinical tools could not be assumed to reflect active practice. Student nurses who had not yet completed qualifying examinations were excluded on the grounds that their practice context differs materially from that of licensed clinical staff. Nursing managers whose current role involves no direct patient care were likewise excluded, as the study focuses specifically on the technology use experiences of nurses engaged in bedside or ambulatory clinical practice.</w:t>
      </w:r>
    </w:p>
    <w:p>
      <w:pPr>
        <w:pStyle w:val="BodyText"/>
        <w:jc w:val="both"/>
        <w:spacing w:line="360" w:lineRule="auto"/>
      </w:pPr>
      <w:r>
        <w:rPr>
          <w:rFonts w:ascii="Times New Roman" w:hAnsi="Times New Roman"/>
          <w:b/>
          <w:bCs/>
          <w:sz w:val="24"/>
        </w:rPr>
        <w:t xml:space="preserve">Sample Size Determination.</w:t>
      </w:r>
      <w:r>
        <w:rPr>
          <w:rFonts w:ascii="Times New Roman" w:hAnsi="Times New Roman"/>
          <w:sz w:val="24"/>
        </w:rPr>
        <w:t xml:space="preserve"> </w:t>
      </w:r>
      <w:r>
        <w:rPr>
          <w:rFonts w:ascii="Times New Roman" w:hAnsi="Times New Roman"/>
          <w:sz w:val="24"/>
        </w:rPr>
        <w:t xml:space="preserve">The target sample size was set at 150 to 200 completed questionnaires. This range is supported by a priori power analysis: for a Pearson Chi-square test of independence with two degrees of freedom, a medium effect size (Cohen’s w = 0.30), a two-tailed significance level of α = 0.05, and desired statistical power of 1 − β = 0.80, the minimum required sample size is approximately 108 respondents, as computed using G*Power 3.1 (Faul et al., 2007). A target of 150 to 200 respondents provides an appropriate attrition buffer for anticipated non-response and incomplete questionnaires, estimated at 15 to 20 percent, while ensuring adequate statistical power across all four hypotheses and allowing for meaningful subgroup comparisons by education level and years of experience.</w:t>
      </w:r>
    </w:p>
    <w:p>
      <w:pPr>
        <w:pStyle w:val="BodyText"/>
        <w:jc w:val="both"/>
        <w:spacing w:line="360" w:lineRule="auto"/>
      </w:pPr>
      <w:r>
        <w:rPr>
          <w:rFonts w:ascii="Times New Roman" w:hAnsi="Times New Roman"/>
          <w:b/>
          <w:bCs/>
          <w:sz w:val="24"/>
        </w:rPr>
        <w:t xml:space="preserve">Sampling Method.</w:t>
      </w:r>
      <w:r>
        <w:rPr>
          <w:rFonts w:ascii="Times New Roman" w:hAnsi="Times New Roman"/>
          <w:sz w:val="24"/>
        </w:rPr>
        <w:t xml:space="preserve"> </w:t>
      </w:r>
      <w:r>
        <w:rPr>
          <w:rFonts w:ascii="Times New Roman" w:hAnsi="Times New Roman"/>
          <w:sz w:val="24"/>
        </w:rPr>
        <w:t xml:space="preserve">Given the absence of a centrally accessible registry of all actively employed Slovak nurses that would permit probability-based sampling, a combination of convenience sampling and purposive criterion sampling was employed. This non-probability strategy was adopted for pragmatic reasons consistent with master’s thesis research: constructing a true probability sample from the national nursing workforce would require institutional data unavailable to an individual researcher, and the time frame of the degree programme does not permit multi-stage cluster sampling across Slovak regions. Questionnaires were distributed through personal professional contacts in healthcare facilities and through colleagues willing to facilitate distribution within their institutions. To mitigate the geographic concentration bias inherent in convenience sampling, deliberate efforts were made to include facilities from at least three Slovak regions and to achieve balanced representation from both inpatient and outpatient settings. The limitations of non-probability sampling and their implications for generalisation are addressed explicitly in section 3.10.</w:t>
      </w:r>
    </w:p>
    <w:bookmarkEnd w:id="32"/>
    <w:bookmarkStart w:id="33" w:name="research-instrument"/>
    <w:p>
      <w:pPr>
        <w:pStyle w:val="Heading3"/>
        <w:jc w:val="left"/>
        <w:spacing w:line="360" w:lineRule="auto"/>
      </w:pPr>
      <w:r>
        <w:rPr>
          <w:rFonts w:ascii="Times New Roman" w:hAnsi="Times New Roman"/>
          <w:b/>
          <w:sz w:val="24"/>
        </w:rPr>
        <w:t xml:space="preserve">3.6 Research Instrument</w:t>
      </w:r>
    </w:p>
    <w:p>
      <w:pPr>
        <w:pStyle w:val="FirstParagraph"/>
        <w:jc w:val="both"/>
        <w:spacing w:line="360" w:lineRule="auto"/>
      </w:pPr>
      <w:r>
        <w:rPr>
          <w:rFonts w:ascii="Times New Roman" w:hAnsi="Times New Roman"/>
          <w:b/>
          <w:bCs/>
          <w:sz w:val="24"/>
        </w:rPr>
        <w:t xml:space="preserve">Instrument Overview.</w:t>
      </w:r>
      <w:r>
        <w:rPr>
          <w:rFonts w:ascii="Times New Roman" w:hAnsi="Times New Roman"/>
          <w:sz w:val="24"/>
        </w:rPr>
        <w:t xml:space="preserve"> </w:t>
      </w:r>
      <w:r>
        <w:rPr>
          <w:rFonts w:ascii="Times New Roman" w:hAnsi="Times New Roman"/>
          <w:sz w:val="24"/>
        </w:rPr>
        <w:t xml:space="preserve">The data collection instrument is a self-administered questionnaire constructed by the researcher specifically for the purposes of this study. The questionnaire comprises 36 items organised into four thematic sections, designed to be completed in approximately 12 to 15 minutes.</w:t>
      </w:r>
    </w:p>
    <w:p>
      <w:pPr>
        <w:pStyle w:val="BodyText"/>
        <w:jc w:val="both"/>
        <w:spacing w:line="360" w:lineRule="auto"/>
      </w:pPr>
      <w:r>
        <w:rPr>
          <w:rFonts w:ascii="Times New Roman" w:hAnsi="Times New Roman"/>
          <w:b/>
          <w:bCs/>
          <w:sz w:val="24"/>
        </w:rPr>
        <w:t xml:space="preserve">Section A — Sociodemographic and Professional Characteristics</w:t>
      </w:r>
      <w:r>
        <w:rPr>
          <w:rFonts w:ascii="Times New Roman" w:hAnsi="Times New Roman"/>
          <w:sz w:val="24"/>
        </w:rPr>
        <w:t xml:space="preserve"> </w:t>
      </w:r>
      <w:r>
        <w:rPr>
          <w:rFonts w:ascii="Times New Roman" w:hAnsi="Times New Roman"/>
          <w:sz w:val="24"/>
        </w:rPr>
        <w:t xml:space="preserve">consists of six items covering age, sex, highest completed nursing qualification, current type of workplace (inpatient or outpatient), years of active clinical experience, and primary clinical department or area of specialisation. Responses to Section A items provide the independent and control variables for hypothesis testing and subgroup analyses.</w:t>
      </w:r>
    </w:p>
    <w:p>
      <w:pPr>
        <w:pStyle w:val="BodyText"/>
        <w:jc w:val="both"/>
        <w:spacing w:line="360" w:lineRule="auto"/>
      </w:pPr>
      <w:r>
        <w:rPr>
          <w:rFonts w:ascii="Times New Roman" w:hAnsi="Times New Roman"/>
          <w:b/>
          <w:bCs/>
          <w:sz w:val="24"/>
        </w:rPr>
        <w:t xml:space="preserve">Section B — Use of Digital Tools</w:t>
      </w:r>
      <w:r>
        <w:rPr>
          <w:rFonts w:ascii="Times New Roman" w:hAnsi="Times New Roman"/>
          <w:sz w:val="24"/>
        </w:rPr>
        <w:t xml:space="preserve"> </w:t>
      </w:r>
      <w:r>
        <w:rPr>
          <w:rFonts w:ascii="Times New Roman" w:hAnsi="Times New Roman"/>
          <w:sz w:val="24"/>
        </w:rPr>
        <w:t xml:space="preserve">comprises twelve items examining which specific digital tools the respondent uses in clinical practice (checklist format permitting multiple selections), the overall frequency of digital tool use (five-point ordinal scale), the specific frequency of EHR system use, and the respondent’s perceived adequacy of the digital infrastructure available at their workplace.</w:t>
      </w:r>
    </w:p>
    <w:p>
      <w:pPr>
        <w:pStyle w:val="BodyText"/>
        <w:jc w:val="both"/>
        <w:spacing w:line="360" w:lineRule="auto"/>
      </w:pPr>
      <w:r>
        <w:rPr>
          <w:rFonts w:ascii="Times New Roman" w:hAnsi="Times New Roman"/>
          <w:b/>
          <w:bCs/>
          <w:sz w:val="24"/>
        </w:rPr>
        <w:t xml:space="preserve">Section C — Perceived Impact on Work Efficiency</w:t>
      </w:r>
      <w:r>
        <w:rPr>
          <w:rFonts w:ascii="Times New Roman" w:hAnsi="Times New Roman"/>
          <w:sz w:val="24"/>
        </w:rPr>
        <w:t xml:space="preserve"> </w:t>
      </w:r>
      <w:r>
        <w:rPr>
          <w:rFonts w:ascii="Times New Roman" w:hAnsi="Times New Roman"/>
          <w:sz w:val="24"/>
        </w:rPr>
        <w:t xml:space="preserve">includes eight items assessing respondents’ subjective evaluation of how specific categories of digital tool affect their personal work efficiency, documentation burden, and clinical workload, measured on five-point Likert scales anchored 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markedly decreases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markedly increases.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These items provide the dependent variable for H1.</w:t>
      </w:r>
    </w:p>
    <w:p>
      <w:pPr>
        <w:pStyle w:val="BodyText"/>
        <w:jc w:val="both"/>
        <w:spacing w:line="360" w:lineRule="auto"/>
      </w:pPr>
      <w:r>
        <w:rPr>
          <w:rFonts w:ascii="Times New Roman" w:hAnsi="Times New Roman"/>
          <w:b/>
          <w:bCs/>
          <w:sz w:val="24"/>
        </w:rPr>
        <w:t xml:space="preserve">Section D — Attitudes Toward Digital Technologies and EHR</w:t>
      </w:r>
      <w:r>
        <w:rPr>
          <w:rFonts w:ascii="Times New Roman" w:hAnsi="Times New Roman"/>
          <w:sz w:val="24"/>
        </w:rPr>
        <w:t xml:space="preserve"> </w:t>
      </w:r>
      <w:r>
        <w:rPr>
          <w:rFonts w:ascii="Times New Roman" w:hAnsi="Times New Roman"/>
          <w:sz w:val="24"/>
        </w:rPr>
        <w:t xml:space="preserve">contains ten items measuring respondents’ general attitudinal orientation toward digitalisation in nursing practice, their perceived contribution of EHR systems to patient care quality and safety, their willingness to adopt new digital tools, and their perceived need for further digital skills training. The EHR quality and safety rating item in this section provides the dependent variable for H4, and the overall attitudinal orientation scale provides the dependent variable for H3.</w:t>
      </w:r>
    </w:p>
    <w:p>
      <w:pPr>
        <w:pStyle w:val="BodyText"/>
        <w:jc w:val="both"/>
        <w:spacing w:line="360" w:lineRule="auto"/>
      </w:pPr>
      <w:r>
        <w:rPr>
          <w:rFonts w:ascii="Times New Roman" w:hAnsi="Times New Roman"/>
          <w:b/>
          <w:bCs/>
          <w:sz w:val="24"/>
        </w:rPr>
        <w:t xml:space="preserve">Instrument Construction Process.</w:t>
      </w:r>
      <w:r>
        <w:rPr>
          <w:rFonts w:ascii="Times New Roman" w:hAnsi="Times New Roman"/>
          <w:sz w:val="24"/>
        </w:rPr>
        <w:t xml:space="preserve"> </w:t>
      </w:r>
      <w:r>
        <w:rPr>
          <w:rFonts w:ascii="Times New Roman" w:hAnsi="Times New Roman"/>
          <w:sz w:val="24"/>
        </w:rPr>
        <w:t xml:space="preserve">The development of the questionnaire followed a systematic four-stage process. In the first stage, a conceptual map of the relevant constructs was developed on the basis of the literature review, identifying six key domains: types of digital tools used in nursing practice, frequency of use, perceived impact on work efficiency, perceived impact on patient care quality and safety, attitudinal orientation toward digitalisation, and training needs. In the second stage, an initial item pool of 52 candidate items was generated across these domains, deliberately oversampling to allow for subsequent reduction following expert review. In the third stage, content validity was addressed through informal expert review conducted by three subject-matter consultants: a nursing educator with expertise in health informatics, a senior clinical nurse employed at a facility with a fully digitalised EHR system, and a researcher familiar with survey instrument design. Each expert assessed all items for thematic relevance, clarity of wording, and appropriateness of response scale format. Items identified as ambiguous, redundant, or falling outside the defined construct boundaries were revised or removed, yielding the 36-item instrument described above. In the fourth stage, the instrument underwent pilot testing with a small sample of target-population members prior to main data collection.</w:t>
      </w:r>
    </w:p>
    <w:p>
      <w:pPr>
        <w:pStyle w:val="BodyText"/>
        <w:jc w:val="both"/>
        <w:spacing w:line="360" w:lineRule="auto"/>
      </w:pPr>
      <w:r>
        <w:rPr>
          <w:rFonts w:ascii="Times New Roman" w:hAnsi="Times New Roman"/>
          <w:b/>
          <w:bCs/>
          <w:sz w:val="24"/>
        </w:rPr>
        <w:t xml:space="preserve">Pilot Testing.</w:t>
      </w:r>
      <w:r>
        <w:rPr>
          <w:rFonts w:ascii="Times New Roman" w:hAnsi="Times New Roman"/>
          <w:sz w:val="24"/>
        </w:rPr>
        <w:t xml:space="preserve"> </w:t>
      </w:r>
      <w:r>
        <w:rPr>
          <w:rFonts w:ascii="Times New Roman" w:hAnsi="Times New Roman"/>
          <w:sz w:val="24"/>
        </w:rPr>
        <w:t xml:space="preserve">Prior to commencing main data collection, the questionnaire was administered to a convenience pilot sample of eight nurses — five employed in inpatient settings and three in outpatient settings — who met all inclusion criteria but were not subsequently included in the main study sample. Pilot participants completed the questionnaire independently under conditions comparable to the main study and then provided written feedback on item clarity, estimated completion time, and any items perceived as confusing, ambiguous, or inapplicable to their clinical practice. Estimated completion time ranged from 11 to 17 minutes across pilot participants, with a mean of approximately 14 minutes. On the basis of the feedback received, three items were reworded to improve clarity, one response scale label was revised to better distinguish adjacent categories, and one item concerning a technology not in widespread use in outpatient settings was restructured as a conditional item accompanied by an explicit skip instruction, to avoid inapplicable burden for respondents in ambulatory roles.</w:t>
      </w:r>
    </w:p>
    <w:p>
      <w:pPr>
        <w:pStyle w:val="BodyText"/>
        <w:jc w:val="both"/>
        <w:spacing w:line="360" w:lineRule="auto"/>
      </w:pPr>
      <w:r>
        <w:rPr>
          <w:rFonts w:ascii="Times New Roman" w:hAnsi="Times New Roman"/>
          <w:b/>
          <w:bCs/>
          <w:sz w:val="24"/>
        </w:rPr>
        <w:t xml:space="preserve">Reliability and Validity.</w:t>
      </w:r>
      <w:r>
        <w:rPr>
          <w:rFonts w:ascii="Times New Roman" w:hAnsi="Times New Roman"/>
          <w:sz w:val="24"/>
        </w:rPr>
        <w:t xml:space="preserve"> </w:t>
      </w:r>
      <w:r>
        <w:rPr>
          <w:rFonts w:ascii="Times New Roman" w:hAnsi="Times New Roman"/>
          <w:sz w:val="24"/>
        </w:rPr>
        <w:t xml:space="preserve">Content validity was addressed through the systematic expert review and the grounding of item content in the published empirical literature on digital tool use in nursing, as detailed above. A formal content validity index (CVI) was not computed owing to the small number of expert reviewers; this is acknowledged as a limitation. Construct validity was not formally assessed through confirmatory or exploratory factor analysis, as the study sample size, while adequate for the planned hypothesis tests, does not meet the respondent-to-item ratio of at least 10:1 recommended for stable exploratory factor solutions (Hair et al., 2019). The internal consistency of attitudinal scale items in Sections C and D was assessed post hoc using Cronbach’s alpha coefficient; a coefficient of α ≥ 0.70 was adopted as the threshold for acceptable internal consistency for research purposes (Nunnally, 1978). Temporal stability was not assessed through test-retest administration owing to logistical constraints; this limitation is acknowledged in section 3.10.</w:t>
      </w:r>
    </w:p>
    <w:bookmarkEnd w:id="33"/>
    <w:bookmarkStart w:id="34" w:name="data-collection-procedure"/>
    <w:p>
      <w:pPr>
        <w:pStyle w:val="Heading3"/>
        <w:jc w:val="left"/>
        <w:spacing w:line="360" w:lineRule="auto"/>
      </w:pPr>
      <w:r>
        <w:rPr>
          <w:rFonts w:ascii="Times New Roman" w:hAnsi="Times New Roman"/>
          <w:b/>
          <w:sz w:val="24"/>
        </w:rPr>
        <w:t xml:space="preserve">3.7 Data Collection Procedure</w:t>
      </w:r>
    </w:p>
    <w:p>
      <w:pPr>
        <w:pStyle w:val="FirstParagraph"/>
        <w:jc w:val="both"/>
        <w:spacing w:line="360" w:lineRule="auto"/>
      </w:pPr>
      <w:r>
        <w:rPr>
          <w:rFonts w:ascii="Times New Roman" w:hAnsi="Times New Roman"/>
          <w:b/>
          <w:bCs/>
          <w:sz w:val="24"/>
        </w:rPr>
        <w:t xml:space="preserve">Distribution Method.</w:t>
      </w:r>
      <w:r>
        <w:rPr>
          <w:rFonts w:ascii="Times New Roman" w:hAnsi="Times New Roman"/>
          <w:sz w:val="24"/>
        </w:rPr>
        <w:t xml:space="preserve"> </w:t>
      </w:r>
      <w:r>
        <w:rPr>
          <w:rFonts w:ascii="Times New Roman" w:hAnsi="Times New Roman"/>
          <w:sz w:val="24"/>
        </w:rPr>
        <w:t xml:space="preserve">Questionnaires were distributed in two parallel formats — printed paper and electronic — to maximise response rate and to accommodate nurses with differing levels of access to personal digital devices during working hours. Printed paper questionnaires were distributed in person at participating healthcare facilities, where a designated contact person — typically a head nurse or ward manager who had agreed in advance to assist with distribution — made questionnaires available to eligible nurses during pre-shift or post-shift briefings. Electronic questionnaires were made available via Google Forms (Google LLC), accessed through a hyperlink and QR code printed on the paper cover letter accompanying the physical questionnaires. Respondents were free to select their preferred format; both versions contained identical items presented in identical sequence.</w:t>
      </w:r>
    </w:p>
    <w:p>
      <w:pPr>
        <w:pStyle w:val="BodyText"/>
        <w:jc w:val="both"/>
        <w:spacing w:line="360" w:lineRule="auto"/>
      </w:pPr>
      <w:r>
        <w:rPr>
          <w:rFonts w:ascii="Times New Roman" w:hAnsi="Times New Roman"/>
          <w:b/>
          <w:bCs/>
          <w:sz w:val="24"/>
        </w:rPr>
        <w:t xml:space="preserve">Timeline.</w:t>
      </w:r>
      <w:r>
        <w:rPr>
          <w:rFonts w:ascii="Times New Roman" w:hAnsi="Times New Roman"/>
          <w:sz w:val="24"/>
        </w:rPr>
        <w:t xml:space="preserve"> </w:t>
      </w:r>
      <w:r>
        <w:rPr>
          <w:rFonts w:ascii="Times New Roman" w:hAnsi="Times New Roman"/>
          <w:sz w:val="24"/>
        </w:rPr>
        <w:t xml:space="preserve">Main data collection was conducted over a period of six to eight weeks. A follow-up reminder communication was issued to contact persons at each participating facility approximately four weeks after initial distribution, with the aim of encouraging completion of outstanding paper questionnaires and prompting nurses who had not yet accessed the electronic form.</w:t>
      </w:r>
    </w:p>
    <w:p>
      <w:pPr>
        <w:pStyle w:val="BodyText"/>
        <w:jc w:val="both"/>
        <w:spacing w:line="360" w:lineRule="auto"/>
      </w:pPr>
      <w:r>
        <w:rPr>
          <w:rFonts w:ascii="Times New Roman" w:hAnsi="Times New Roman"/>
          <w:b/>
          <w:bCs/>
          <w:sz w:val="24"/>
        </w:rPr>
        <w:t xml:space="preserve">Ethical Considerations and Informed Consent.</w:t>
      </w:r>
      <w:r>
        <w:rPr>
          <w:rFonts w:ascii="Times New Roman" w:hAnsi="Times New Roman"/>
          <w:sz w:val="24"/>
        </w:rPr>
        <w:t xml:space="preserve"> </w:t>
      </w:r>
      <w:r>
        <w:rPr>
          <w:rFonts w:ascii="Times New Roman" w:hAnsi="Times New Roman"/>
          <w:sz w:val="24"/>
        </w:rPr>
        <w:t xml:space="preserve">Each respondent received a written information sheet — printed on the cover page of the paper questionnaire and displayed as the introductory screen of the electronic form — explaining the purpose and scope of the study, the institutional affiliation of the researcher, the voluntary nature of participation and the right to withdraw at any point prior to questionnaire submission without any professional consequence, the anonymous character of all data collected, the exclusive use of the collected data for academic research purposes, and the procedures by which data would be stored and disposed of following completion of the thesis. Completion and submission of the questionnaire constituted the respondent’s expression of freely given informed consent. No personal identifiers of any kind — including name, employee number, or precise workplace address — were collected at any point in the study.</w:t>
      </w:r>
    </w:p>
    <w:p>
      <w:pPr>
        <w:pStyle w:val="BodyText"/>
        <w:jc w:val="both"/>
        <w:spacing w:line="360" w:lineRule="auto"/>
      </w:pPr>
      <w:r>
        <w:rPr>
          <w:rFonts w:ascii="Times New Roman" w:hAnsi="Times New Roman"/>
          <w:sz w:val="24"/>
        </w:rPr>
        <w:t xml:space="preserve">The study did not involve the collection of patient data, the administration of clinical interventions, or the collection of biological specimens. Accordingly, formal institutional review board (IRB) or ethics committee approval was not a legal requirement under applicable Slovak regulations for this category of anonymous survey research. Nevertheless, the study was conducted in full accordance with the ethical principles of the Declaration of Helsinki as they apply to survey research involving adult human participants, and with the research ethics guidelines of the Faculty of Health Sciences and Social Work, Trnava University.</w:t>
      </w:r>
    </w:p>
    <w:p>
      <w:pPr>
        <w:pStyle w:val="BodyText"/>
        <w:jc w:val="both"/>
        <w:spacing w:line="360" w:lineRule="auto"/>
      </w:pPr>
      <w:r>
        <w:rPr>
          <w:rFonts w:ascii="Times New Roman" w:hAnsi="Times New Roman"/>
          <w:b/>
          <w:bCs/>
          <w:sz w:val="24"/>
        </w:rPr>
        <w:t xml:space="preserve">Anonymity and Data Protection.</w:t>
      </w:r>
      <w:r>
        <w:rPr>
          <w:rFonts w:ascii="Times New Roman" w:hAnsi="Times New Roman"/>
          <w:sz w:val="24"/>
        </w:rPr>
        <w:t xml:space="preserve"> </w:t>
      </w:r>
      <w:r>
        <w:rPr>
          <w:rFonts w:ascii="Times New Roman" w:hAnsi="Times New Roman"/>
          <w:sz w:val="24"/>
        </w:rPr>
        <w:t xml:space="preserve">All procedures were designed to ensure the anonymity of participants and the security of data, consistent with the requirements of Regulation (EU) 2016/679 (General Data Protection Regulation, GDPR). Paper questionnaires were collected in sealed envelopes and stored in a locked cabinet accessible only to the researcher throughout the data collection and analysis period. Electronic responses were retained within the researcher’s password-protected institutional Google account; raw response data were exported to a password-protected spreadsheet for statistical analysis. No data enabling the identification of individual respondents or their employing institutions are reported or reproduced in any part of this thesis. All raw data will be securely deleted upon successful defence of the thesis.</w:t>
      </w:r>
    </w:p>
    <w:bookmarkEnd w:id="34"/>
    <w:bookmarkStart w:id="35" w:name="statistical-analysis-methods"/>
    <w:p>
      <w:pPr>
        <w:pStyle w:val="Heading3"/>
        <w:jc w:val="left"/>
        <w:spacing w:line="360" w:lineRule="auto"/>
      </w:pPr>
      <w:r>
        <w:rPr>
          <w:rFonts w:ascii="Times New Roman" w:hAnsi="Times New Roman"/>
          <w:b/>
          <w:sz w:val="24"/>
        </w:rPr>
        <w:t xml:space="preserve">3.8 Statistical Analysis Methods</w:t>
      </w:r>
    </w:p>
    <w:p>
      <w:pPr>
        <w:pStyle w:val="FirstParagraph"/>
        <w:jc w:val="both"/>
        <w:spacing w:line="360" w:lineRule="auto"/>
      </w:pPr>
      <w:r>
        <w:rPr>
          <w:rFonts w:ascii="Times New Roman" w:hAnsi="Times New Roman"/>
          <w:sz w:val="24"/>
        </w:rPr>
        <w:t xml:space="preserve">All statistical analyses were performed using Microsoft Excel (Microsoft Corporation, version 365). Data recorded on paper questionnaires were entered manually into the analysis spreadsheet following systematic verification of completeness; data submitted via the electronic form were exported directly. Questionnaires with more than 20 percent of substantive items unanswered were classified as incomplete and excluded from analysis prior to any calculations.</w:t>
      </w:r>
    </w:p>
    <w:p>
      <w:pPr>
        <w:pStyle w:val="BodyText"/>
        <w:jc w:val="both"/>
        <w:spacing w:line="360" w:lineRule="auto"/>
      </w:pPr>
      <w:r>
        <w:rPr>
          <w:rFonts w:ascii="Times New Roman" w:hAnsi="Times New Roman"/>
          <w:b/>
          <w:bCs/>
          <w:sz w:val="24"/>
        </w:rPr>
        <w:t xml:space="preserve">Descriptive Statistics.</w:t>
      </w:r>
      <w:r>
        <w:rPr>
          <w:rFonts w:ascii="Times New Roman" w:hAnsi="Times New Roman"/>
          <w:sz w:val="24"/>
        </w:rPr>
        <w:t xml:space="preserve"> </w:t>
      </w:r>
      <w:r>
        <w:rPr>
          <w:rFonts w:ascii="Times New Roman" w:hAnsi="Times New Roman"/>
          <w:sz w:val="24"/>
        </w:rPr>
        <w:t xml:space="preserve">Descriptive statistics were calculated for all variables. For categorical and ordinal variables, absolute frequencies (</w:t>
      </w:r>
      <w:r>
        <w:rPr>
          <w:rFonts w:ascii="Times New Roman" w:hAnsi="Times New Roman"/>
          <w:i/>
          <w:iCs/>
          <w:sz w:val="24"/>
        </w:rPr>
        <w:t xml:space="preserve">n</w:t>
      </w:r>
      <w:r>
        <w:rPr>
          <w:rFonts w:ascii="Times New Roman" w:hAnsi="Times New Roman"/>
          <w:sz w:val="24"/>
        </w:rPr>
        <w:t xml:space="preserve">) and relative frequencies (%) were computed and presented in frequency tables complemented by bar charts. For continuous variables — specifically age and years of clinical experience in their raw (pre-categorised) form — the arithmetic mean, median, and range were reported. Measures of central tendency and dispersion were also computed for Likert-scale composite scores where appropriate.</w:t>
      </w:r>
    </w:p>
    <w:p>
      <w:pPr>
        <w:pStyle w:val="BodyText"/>
        <w:jc w:val="both"/>
        <w:spacing w:line="360" w:lineRule="auto"/>
      </w:pPr>
      <w:r>
        <w:rPr>
          <w:rFonts w:ascii="Times New Roman" w:hAnsi="Times New Roman"/>
          <w:b/>
          <w:bCs/>
          <w:sz w:val="24"/>
        </w:rPr>
        <w:t xml:space="preserve">Inferential Statistics.</w:t>
      </w:r>
      <w:r>
        <w:rPr>
          <w:rFonts w:ascii="Times New Roman" w:hAnsi="Times New Roman"/>
          <w:sz w:val="24"/>
        </w:rPr>
        <w:t xml:space="preserve"> </w:t>
      </w:r>
      <w:r>
        <w:rPr>
          <w:rFonts w:ascii="Times New Roman" w:hAnsi="Times New Roman"/>
          <w:sz w:val="24"/>
        </w:rPr>
        <w:t xml:space="preserve">The primary inferential technique employed in this study is the Pearson Chi-square test of independence (χ²), applied to test H1, H2, and H3. The Chi-square test evaluates whether the observed distribution of frequencies across the cells of a contingency table departs significantly from the distribution that would be expected if the two variables under examination were statistically independent. The test statistic is calculated as:</w:t>
      </w:r>
    </w:p>
    <w:p>
      <w:pPr>
        <w:pStyle w:val="BodyText"/>
        <w:jc w:val="both"/>
        <w:spacing w:line="360" w:lineRule="auto"/>
      </w:pPr>
      <m:oMathPara>
        <m:oMathParaPr>
          <m:jc m:val="center"/>
        </m:oMathParaPr>
        <m:oMath>
          <m:sSup>
            <m:e>
              <m:r>
                <m:t>χ</m:t>
              </m:r>
            </m:e>
            <m:sup>
              <m:r>
                <m:t>2</m:t>
              </m:r>
            </m:sup>
          </m:sSup>
          <m:r>
            <m:rPr>
              <m:sty m:val="p"/>
            </m:rPr>
            <m:t>=</m:t>
          </m:r>
          <m:nary>
            <m:naryPr>
              <m:chr m:val="∑"/>
              <m:limLoc m:val="undOvr"/>
              <m:subHide m:val="off"/>
              <m:supHide m:val="off"/>
            </m:naryPr>
            <m:sub>
              <m:r>
                <m:t>i</m:t>
              </m:r>
              <m:r>
                <m:rPr>
                  <m:sty m:val="p"/>
                </m:rPr>
                <m:t>=</m:t>
              </m:r>
              <m:r>
                <m:t>1</m:t>
              </m:r>
            </m:sub>
            <m:sup>
              <m:r>
                <m:t>r</m:t>
              </m:r>
            </m:sup>
            <m:e>
              <m:nary>
                <m:naryPr>
                  <m:chr m:val="∑"/>
                  <m:limLoc m:val="undOvr"/>
                  <m:subHide m:val="off"/>
                  <m:supHide m:val="off"/>
                </m:naryPr>
                <m:sub>
                  <m:r>
                    <m:t>j</m:t>
                  </m:r>
                  <m:r>
                    <m:rPr>
                      <m:sty m:val="p"/>
                    </m:rPr>
                    <m:t>=</m:t>
                  </m:r>
                  <m:r>
                    <m:t>1</m:t>
                  </m:r>
                </m:sub>
                <m:sup>
                  <m:r>
                    <m:t>c</m:t>
                  </m:r>
                </m:sup>
                <m:e>
                  <m:f>
                    <m:fPr>
                      <m:type m:val="bar"/>
                    </m:fPr>
                    <m:num>
                      <m:sSup>
                        <m:e>
                          <m:d>
                            <m:dPr>
                              <m:begChr m:val="("/>
                              <m:endChr m:val=")"/>
                              <m:sepChr m:val=""/>
                              <m:grow/>
                            </m:dPr>
                            <m:e>
                              <m:sSub>
                                <m:e>
                                  <m:r>
                                    <m:t>O</m:t>
                                  </m:r>
                                </m:e>
                                <m:sub>
                                  <m:r>
                                    <m:t>i</m:t>
                                  </m:r>
                                  <m:r>
                                    <m:t>j</m:t>
                                  </m:r>
                                </m:sub>
                              </m:sSub>
                              <m:r>
                                <m:rPr>
                                  <m:sty m:val="p"/>
                                </m:rPr>
                                <m:t>−</m:t>
                              </m:r>
                              <m:sSub>
                                <m:e>
                                  <m:r>
                                    <m:t>E</m:t>
                                  </m:r>
                                </m:e>
                                <m:sub>
                                  <m:r>
                                    <m:t>i</m:t>
                                  </m:r>
                                  <m:r>
                                    <m:t>j</m:t>
                                  </m:r>
                                </m:sub>
                              </m:sSub>
                            </m:e>
                          </m:d>
                        </m:e>
                        <m:sup>
                          <m:r>
                            <m:t>2</m:t>
                          </m:r>
                        </m:sup>
                      </m:sSup>
                    </m:num>
                    <m:den>
                      <m:sSub>
                        <m:e>
                          <m:r>
                            <m:t>E</m:t>
                          </m:r>
                        </m:e>
                        <m:sub>
                          <m:r>
                            <m:t>i</m:t>
                          </m:r>
                          <m:r>
                            <m:t>j</m:t>
                          </m:r>
                        </m:sub>
                      </m:sSub>
                    </m:den>
                  </m:f>
                </m:e>
              </m:nary>
            </m:e>
          </m:nary>
        </m:oMath>
      </m:oMathPara>
    </w:p>
    <w:p>
      <w:pPr>
        <w:pStyle w:val="FirstParagraph"/>
        <w:jc w:val="both"/>
        <w:spacing w:line="360" w:lineRule="auto"/>
      </w:pPr>
      <w:r>
        <w:rPr>
          <w:rFonts w:ascii="Times New Roman" w:hAnsi="Times New Roman"/>
          <w:sz w:val="24"/>
        </w:rPr>
        <w:t xml:space="preserve">where</w:t>
      </w:r>
      <w:r>
        <w:rPr>
          <w:rFonts w:ascii="Times New Roman" w:hAnsi="Times New Roman"/>
          <w:sz w:val="24"/>
        </w:rPr>
        <w:t xml:space="preserve"> </w:t>
      </w:r>
      <m:oMath>
        <m:sSub>
          <m:e>
            <m:r>
              <m:t>O</m:t>
            </m:r>
          </m:e>
          <m:sub>
            <m:r>
              <m:t>i</m:t>
            </m:r>
            <m:r>
              <m:t>j</m:t>
            </m:r>
          </m:sub>
        </m:sSub>
      </m:oMath>
      <w:r>
        <w:rPr>
          <w:rFonts w:ascii="Times New Roman" w:hAnsi="Times New Roman"/>
          <w:sz w:val="24"/>
        </w:rPr>
        <w:t xml:space="preserve"> </w:t>
      </w:r>
      <w:r>
        <w:rPr>
          <w:rFonts w:ascii="Times New Roman" w:hAnsi="Times New Roman"/>
          <w:sz w:val="24"/>
        </w:rPr>
        <w:t xml:space="preserve">denotes the observed frequency in cell</w:t>
      </w:r>
      <w:r>
        <w:rPr>
          <w:rFonts w:ascii="Times New Roman" w:hAnsi="Times New Roman"/>
          <w:sz w:val="24"/>
        </w:rPr>
        <w:t xml:space="preserve"> </w:t>
      </w:r>
      <m:oMath>
        <m:d>
          <m:dPr>
            <m:begChr m:val="("/>
            <m:endChr m:val=")"/>
            <m:sepChr m:val=""/>
            <m:grow/>
          </m:dPr>
          <m:e>
            <m:r>
              <m:t>i</m:t>
            </m:r>
            <m:r>
              <m:rPr>
                <m:sty m:val="p"/>
              </m:rPr>
              <m:t>,</m:t>
            </m:r>
            <m:r>
              <m:t>j</m:t>
            </m:r>
          </m:e>
        </m:d>
      </m:oMath>
      <w:r>
        <w:rPr>
          <w:rFonts w:ascii="Times New Roman" w:hAnsi="Times New Roman"/>
          <w:sz w:val="24"/>
        </w:rPr>
        <w:t xml:space="preserve"> </w:t>
      </w:r>
      <w:r>
        <w:rPr>
          <w:rFonts w:ascii="Times New Roman" w:hAnsi="Times New Roman"/>
          <w:sz w:val="24"/>
        </w:rPr>
        <w:t xml:space="preserve">of the contingency table;</w:t>
      </w:r>
      <w:r>
        <w:rPr>
          <w:rFonts w:ascii="Times New Roman" w:hAnsi="Times New Roman"/>
          <w:sz w:val="24"/>
        </w:rPr>
        <w:t xml:space="preserve"> </w:t>
      </w:r>
      <m:oMath>
        <m:sSub>
          <m:e>
            <m:r>
              <m:t>E</m:t>
            </m:r>
          </m:e>
          <m:sub>
            <m:r>
              <m:t>i</m:t>
            </m:r>
            <m:r>
              <m:t>j</m:t>
            </m:r>
          </m:sub>
        </m:sSub>
      </m:oMath>
      <w:r>
        <w:rPr>
          <w:rFonts w:ascii="Times New Roman" w:hAnsi="Times New Roman"/>
          <w:sz w:val="24"/>
        </w:rPr>
        <w:t xml:space="preserve"> </w:t>
      </w:r>
      <w:r>
        <w:rPr>
          <w:rFonts w:ascii="Times New Roman" w:hAnsi="Times New Roman"/>
          <w:sz w:val="24"/>
        </w:rPr>
        <w:t xml:space="preserve">denotes the expected frequency in that cell under the null hypothesis of independence, calculated as</w:t>
      </w:r>
      <w:r>
        <w:rPr>
          <w:rFonts w:ascii="Times New Roman" w:hAnsi="Times New Roman"/>
          <w:sz w:val="24"/>
        </w:rPr>
        <w:t xml:space="preserve"> </w:t>
      </w:r>
      <m:oMath>
        <m:sSub>
          <m:e>
            <m:r>
              <m:t>E</m:t>
            </m:r>
          </m:e>
          <m:sub>
            <m:r>
              <m:t>i</m:t>
            </m:r>
            <m:r>
              <m:t>j</m:t>
            </m:r>
          </m:sub>
        </m:sSub>
        <m:r>
          <m:rPr>
            <m:sty m:val="p"/>
          </m:rPr>
          <m:t>=</m:t>
        </m:r>
        <m:f>
          <m:fPr>
            <m:type m:val="bar"/>
          </m:fPr>
          <m:num>
            <m:sSub>
              <m:e>
                <m:r>
                  <m:t>R</m:t>
                </m:r>
              </m:e>
              <m:sub>
                <m:r>
                  <m:t>i</m:t>
                </m:r>
              </m:sub>
            </m:sSub>
            <m:r>
              <m:rPr>
                <m:sty m:val="p"/>
              </m:rPr>
              <m:t>×</m:t>
            </m:r>
            <m:sSub>
              <m:e>
                <m:r>
                  <m:t>C</m:t>
                </m:r>
              </m:e>
              <m:sub>
                <m:r>
                  <m:t>j</m:t>
                </m:r>
              </m:sub>
            </m:sSub>
          </m:num>
          <m:den>
            <m:r>
              <m:t>N</m:t>
            </m:r>
          </m:den>
        </m:f>
      </m:oMath>
      <w:r>
        <w:rPr>
          <w:rFonts w:ascii="Times New Roman" w:hAnsi="Times New Roman"/>
          <w:sz w:val="24"/>
        </w:rPr>
        <w:t xml:space="preserve">, where</w:t>
      </w:r>
      <w:r>
        <w:rPr>
          <w:rFonts w:ascii="Times New Roman" w:hAnsi="Times New Roman"/>
          <w:sz w:val="24"/>
        </w:rPr>
        <w:t xml:space="preserve"> </w:t>
      </w:r>
      <m:oMath>
        <m:sSub>
          <m:e>
            <m:r>
              <m:t>R</m:t>
            </m:r>
          </m:e>
          <m:sub>
            <m:r>
              <m:t>i</m:t>
            </m:r>
          </m:sub>
        </m:sSub>
      </m:oMath>
      <w:r>
        <w:rPr>
          <w:rFonts w:ascii="Times New Roman" w:hAnsi="Times New Roman"/>
          <w:sz w:val="24"/>
        </w:rPr>
        <w:t xml:space="preserve"> </w:t>
      </w:r>
      <w:r>
        <w:rPr>
          <w:rFonts w:ascii="Times New Roman" w:hAnsi="Times New Roman"/>
          <w:sz w:val="24"/>
        </w:rPr>
        <w:t xml:space="preserve">is the row marginal total,</w:t>
      </w:r>
      <w:r>
        <w:rPr>
          <w:rFonts w:ascii="Times New Roman" w:hAnsi="Times New Roman"/>
          <w:sz w:val="24"/>
        </w:rPr>
        <w:t xml:space="preserve"> </w:t>
      </w:r>
      <m:oMath>
        <m:sSub>
          <m:e>
            <m:r>
              <m:t>C</m:t>
            </m:r>
          </m:e>
          <m:sub>
            <m:r>
              <m:t>j</m:t>
            </m:r>
          </m:sub>
        </m:sSub>
      </m:oMath>
      <w:r>
        <w:rPr>
          <w:rFonts w:ascii="Times New Roman" w:hAnsi="Times New Roman"/>
          <w:sz w:val="24"/>
        </w:rPr>
        <w:t xml:space="preserve"> </w:t>
      </w:r>
      <w:r>
        <w:rPr>
          <w:rFonts w:ascii="Times New Roman" w:hAnsi="Times New Roman"/>
          <w:sz w:val="24"/>
        </w:rPr>
        <w:t xml:space="preserve">is the column marginal total, and</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is the total sample size;</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is the number of rows; and</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is the number of columns. The resulting test statistic follows a Chi-square distribution with degrees of freedom equal to</w:t>
      </w:r>
      <w:r>
        <w:rPr>
          <w:rFonts w:ascii="Times New Roman" w:hAnsi="Times New Roman"/>
          <w:sz w:val="24"/>
        </w:rPr>
        <w:t xml:space="preserve"> </w:t>
      </w:r>
      <m:oMath>
        <m:d>
          <m:dPr>
            <m:begChr m:val="("/>
            <m:endChr m:val=")"/>
            <m:sepChr m:val=""/>
            <m:grow/>
          </m:dPr>
          <m:e>
            <m:r>
              <m:t>r</m:t>
            </m:r>
            <m:r>
              <m:rPr>
                <m:sty m:val="p"/>
              </m:rPr>
              <m:t>−</m:t>
            </m:r>
            <m:r>
              <m:t>1</m:t>
            </m:r>
          </m:e>
        </m:d>
        <m:d>
          <m:dPr>
            <m:begChr m:val="("/>
            <m:endChr m:val=")"/>
            <m:sepChr m:val=""/>
            <m:grow/>
          </m:dPr>
          <m:e>
            <m:r>
              <m:t>c</m:t>
            </m:r>
            <m:r>
              <m:rPr>
                <m:sty m:val="p"/>
              </m:rPr>
              <m:t>−</m:t>
            </m:r>
            <m:r>
              <m:t>1</m:t>
            </m:r>
          </m:e>
        </m:d>
      </m:oMath>
      <w:r>
        <w:rPr>
          <w:rFonts w:ascii="Times New Roman" w:hAnsi="Times New Roman"/>
          <w:sz w:val="24"/>
        </w:rPr>
        <w:t xml:space="preserve">. A p-value below the pre-specified significance level of α = 0.05 (two-tailed) was considered sufficient evidence to reject the null hypothesis of statistical independence.</w:t>
      </w:r>
    </w:p>
    <w:p>
      <w:pPr>
        <w:pStyle w:val="BodyText"/>
        <w:jc w:val="both"/>
        <w:spacing w:line="360" w:lineRule="auto"/>
      </w:pPr>
      <w:r>
        <w:rPr>
          <w:rFonts w:ascii="Times New Roman" w:hAnsi="Times New Roman"/>
          <w:sz w:val="24"/>
        </w:rPr>
        <w:t xml:space="preserve">Prior to interpreting each Chi-square result, the standard assumptions of the test were verified: (1) all observations are independent of one another; (2) each cell of the contingency table carries an expected frequency of at least five. Where expected cell frequencies fell below five — which may occur in subgroup analyses involving small counts within particular categories — adjacent response categories were collapsed prior to testing, and the rationale for any such collapsing is reported in the Results chapter.</w:t>
      </w:r>
    </w:p>
    <w:p>
      <w:pPr>
        <w:pStyle w:val="BodyText"/>
        <w:jc w:val="both"/>
        <w:spacing w:line="360" w:lineRule="auto"/>
      </w:pPr>
      <w:r>
        <w:rPr>
          <w:rFonts w:ascii="Times New Roman" w:hAnsi="Times New Roman"/>
          <w:sz w:val="24"/>
        </w:rPr>
        <w:t xml:space="preserve">For</w:t>
      </w:r>
      <w:r>
        <w:rPr>
          <w:rFonts w:ascii="Times New Roman" w:hAnsi="Times New Roman"/>
          <w:sz w:val="24"/>
        </w:rPr>
        <w:t xml:space="preserve"> </w:t>
      </w:r>
      <w:r>
        <w:rPr>
          <w:rFonts w:ascii="Times New Roman" w:hAnsi="Times New Roman"/>
          <w:b/>
          <w:bCs/>
          <w:sz w:val="24"/>
        </w:rPr>
        <w:t xml:space="preserve">Hypothesis 4</w:t>
      </w:r>
      <w:r>
        <w:rPr>
          <w:rFonts w:ascii="Times New Roman" w:hAnsi="Times New Roman"/>
          <w:sz w:val="24"/>
        </w:rPr>
        <w:t xml:space="preserve">, which concerns a single population proportion rather than an association between two variables, the proportion of nurses providing a positive EHR quality and safety assessment was compared against the 50 percent threshold using a one-sample z-test for proportions:</w:t>
      </w:r>
    </w:p>
    <w:p>
      <w:pPr>
        <w:pStyle w:val="BodyText"/>
        <w:jc w:val="both"/>
        <w:spacing w:line="360" w:lineRule="auto"/>
      </w:pPr>
      <m:oMathPara>
        <m:oMathParaPr>
          <m:jc m:val="center"/>
        </m:oMathParaPr>
        <m:oMath>
          <m:r>
            <m:t>z</m:t>
          </m:r>
          <m:r>
            <m:rPr>
              <m:sty m:val="p"/>
            </m:rPr>
            <m:t>=</m:t>
          </m:r>
          <m:f>
            <m:fPr>
              <m:type m:val="bar"/>
            </m:fPr>
            <m:num>
              <m:acc>
                <m:accPr>
                  <m:chr m:val="̂"/>
                </m:accPr>
                <m:e>
                  <m:r>
                    <m:t>p</m:t>
                  </m:r>
                </m:e>
              </m:acc>
              <m:r>
                <m:rPr>
                  <m:sty m:val="p"/>
                </m:rPr>
                <m:t>−</m:t>
              </m:r>
              <m:sSub>
                <m:e>
                  <m:r>
                    <m:t>p</m:t>
                  </m:r>
                </m:e>
                <m:sub>
                  <m:r>
                    <m:t>0</m:t>
                  </m:r>
                </m:sub>
              </m:sSub>
            </m:num>
            <m:den>
              <m:rad>
                <m:radPr>
                  <m:degHide m:val="on"/>
                </m:radPr>
                <m:deg/>
                <m:e>
                  <m:f>
                    <m:fPr>
                      <m:type m:val="bar"/>
                    </m:fPr>
                    <m:num>
                      <m:sSub>
                        <m:e>
                          <m:r>
                            <m:t>p</m:t>
                          </m:r>
                        </m:e>
                        <m:sub>
                          <m:r>
                            <m:t>0</m:t>
                          </m:r>
                        </m:sub>
                      </m:sSub>
                      <m:d>
                        <m:dPr>
                          <m:begChr m:val="("/>
                          <m:endChr m:val=")"/>
                          <m:sepChr m:val=""/>
                          <m:grow/>
                        </m:dPr>
                        <m:e>
                          <m:r>
                            <m:t>1</m:t>
                          </m:r>
                          <m:r>
                            <m:rPr>
                              <m:sty m:val="p"/>
                            </m:rPr>
                            <m:t>−</m:t>
                          </m:r>
                          <m:sSub>
                            <m:e>
                              <m:r>
                                <m:t>p</m:t>
                              </m:r>
                            </m:e>
                            <m:sub>
                              <m:r>
                                <m:t>0</m:t>
                              </m:r>
                            </m:sub>
                          </m:sSub>
                        </m:e>
                      </m:d>
                    </m:num>
                    <m:den>
                      <m:r>
                        <m:t>n</m:t>
                      </m:r>
                    </m:den>
                  </m:f>
                </m:e>
              </m:rad>
            </m:den>
          </m:f>
        </m:oMath>
      </m:oMathPara>
    </w:p>
    <w:p>
      <w:pPr>
        <w:pStyle w:val="FirstParagraph"/>
        <w:jc w:val="both"/>
        <w:spacing w:line="360" w:lineRule="auto"/>
      </w:pPr>
      <w:r>
        <w:rPr>
          <w:rFonts w:ascii="Times New Roman" w:hAnsi="Times New Roman"/>
          <w:sz w:val="24"/>
        </w:rPr>
        <w:t xml:space="preserve">where</w:t>
      </w:r>
      <w:r>
        <w:rPr>
          <w:rFonts w:ascii="Times New Roman" w:hAnsi="Times New Roman"/>
          <w:sz w:val="24"/>
        </w:rPr>
        <w:t xml:space="preserve"> </w:t>
      </w:r>
      <m:oMath>
        <m:acc>
          <m:accPr>
            <m:chr m:val="̂"/>
          </m:accPr>
          <m:e>
            <m:r>
              <m:t>p</m:t>
            </m:r>
          </m:e>
        </m:acc>
      </m:oMath>
      <w:r>
        <w:rPr>
          <w:rFonts w:ascii="Times New Roman" w:hAnsi="Times New Roman"/>
          <w:sz w:val="24"/>
        </w:rPr>
        <w:t xml:space="preserve"> </w:t>
      </w:r>
      <w:r>
        <w:rPr>
          <w:rFonts w:ascii="Times New Roman" w:hAnsi="Times New Roman"/>
          <w:sz w:val="24"/>
        </w:rPr>
        <w:t xml:space="preserve">is the observed sample proportion of positive responses,</w:t>
      </w:r>
      <w:r>
        <w:rPr>
          <w:rFonts w:ascii="Times New Roman" w:hAnsi="Times New Roman"/>
          <w:sz w:val="24"/>
        </w:rPr>
        <w:t xml:space="preserve"> </w:t>
      </w:r>
      <m:oMath>
        <m:sSub>
          <m:e>
            <m:r>
              <m:t>p</m:t>
            </m:r>
          </m:e>
          <m:sub>
            <m:r>
              <m:t>0</m:t>
            </m:r>
          </m:sub>
        </m:sSub>
        <m:r>
          <m:rPr>
            <m:sty m:val="p"/>
          </m:rPr>
          <m:t>=</m:t>
        </m:r>
        <m:r>
          <m:t>0.50</m:t>
        </m:r>
      </m:oMath>
      <w:r>
        <w:rPr>
          <w:rFonts w:ascii="Times New Roman" w:hAnsi="Times New Roman"/>
          <w:sz w:val="24"/>
        </w:rPr>
        <w:t xml:space="preserve"> </w:t>
      </w:r>
      <w:r>
        <w:rPr>
          <w:rFonts w:ascii="Times New Roman" w:hAnsi="Times New Roman"/>
          <w:sz w:val="24"/>
        </w:rPr>
        <w:t xml:space="preserve">is the proportion specified under the null hypothesis, and</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is the total sample size. The resulting test statistic was evaluated against the standard normal distribution at α = 0.05, one-tailed, in accordance with the directional character of the hypothesis.</w:t>
      </w:r>
    </w:p>
    <w:p>
      <w:pPr>
        <w:pStyle w:val="BodyText"/>
        <w:jc w:val="both"/>
        <w:spacing w:line="360" w:lineRule="auto"/>
      </w:pPr>
      <w:r>
        <w:rPr>
          <w:rFonts w:ascii="Times New Roman" w:hAnsi="Times New Roman"/>
          <w:b/>
          <w:bCs/>
          <w:sz w:val="24"/>
        </w:rPr>
        <w:t xml:space="preserve">Effect Size Reporting.</w:t>
      </w:r>
      <w:r>
        <w:rPr>
          <w:rFonts w:ascii="Times New Roman" w:hAnsi="Times New Roman"/>
          <w:sz w:val="24"/>
        </w:rPr>
        <w:t xml:space="preserve"> </w:t>
      </w:r>
      <w:r>
        <w:rPr>
          <w:rFonts w:ascii="Times New Roman" w:hAnsi="Times New Roman"/>
          <w:sz w:val="24"/>
        </w:rPr>
        <w:t xml:space="preserve">Statistical significance alone does not convey the practical or clinical relevance of an observed association; therefore, effect sizes were calculated and reported alongside all significance test results. For Chi-square tests of independence, Cramér’s V was computed as the effect size index, with the following interpretive benchmarks following Cohen (1988): V = 0.10 indicating a small effect, V = 0.30 a medium effect, and V = 0.50 a large effect. Reporting both p-values and effect sizes enables the reader to distinguish statistically significant but practically negligible associations from those of substantive magnitude.</w:t>
      </w:r>
    </w:p>
    <w:bookmarkEnd w:id="35"/>
    <w:bookmarkStart w:id="36" w:name="validity-and-reliability-considerations"/>
    <w:p>
      <w:pPr>
        <w:pStyle w:val="Heading3"/>
        <w:jc w:val="left"/>
        <w:spacing w:line="360" w:lineRule="auto"/>
      </w:pPr>
      <w:r>
        <w:rPr>
          <w:rFonts w:ascii="Times New Roman" w:hAnsi="Times New Roman"/>
          <w:b/>
          <w:sz w:val="24"/>
        </w:rPr>
        <w:t xml:space="preserve">3.9 Validity and Reliability Considerations</w:t>
      </w:r>
    </w:p>
    <w:p>
      <w:pPr>
        <w:pStyle w:val="FirstParagraph"/>
        <w:jc w:val="both"/>
        <w:spacing w:line="360" w:lineRule="auto"/>
      </w:pPr>
      <w:r>
        <w:rPr>
          <w:rFonts w:ascii="Times New Roman" w:hAnsi="Times New Roman"/>
          <w:sz w:val="24"/>
        </w:rPr>
        <w:t xml:space="preserve">The validity and reliability of the study’s findings depend in part on the psychometric properties of the research instrument and in part on the rigour of the data collection and analysis procedures. Content validity was addressed during the instrument construction phase through a systematic review of the item pool by three subject-matter experts and through close grounding of item content in the existing empirical literature. Face validity was supported by pilot testing with nurses drawn from the target population, who confirmed that items were intelligible and relevant to clinical nursing practice.</w:t>
      </w:r>
    </w:p>
    <w:p>
      <w:pPr>
        <w:pStyle w:val="BodyText"/>
        <w:jc w:val="both"/>
        <w:spacing w:line="360" w:lineRule="auto"/>
      </w:pPr>
      <w:r>
        <w:rPr>
          <w:rFonts w:ascii="Times New Roman" w:hAnsi="Times New Roman"/>
          <w:sz w:val="24"/>
        </w:rPr>
        <w:t xml:space="preserve">The internal consistency of attitudinal scale items in Sections C and D of the questionnaire was assessed post hoc using Cronbach’s alpha (α ≥ 0.70 accepted as adequate for research-level measurement; Nunnally, 1978). Construct validity was not formally evaluated through factor analysis, as the study sample is not large enough relative to the number of scale items to support a reliable factor solution.</w:t>
      </w:r>
    </w:p>
    <w:p>
      <w:pPr>
        <w:pStyle w:val="BodyText"/>
        <w:jc w:val="both"/>
        <w:spacing w:line="360" w:lineRule="auto"/>
      </w:pPr>
      <w:r>
        <w:rPr>
          <w:rFonts w:ascii="Times New Roman" w:hAnsi="Times New Roman"/>
          <w:sz w:val="24"/>
        </w:rPr>
        <w:t xml:space="preserve">Two principal threats to internal validity were identified. The first is social desirability bias: respondents may systematically over-report positive attitudes toward digital tools and higher frequencies of use if they perceive such responses to be the professionally expected or desirable answers. This threat was mitigated through the fully anonymous design of the questionnaire and through the explicit instruction, provided on the information sheet, that all responses are equally valid and that there are no correct or incorrect answers. The second threat is common method variance, arising from the use of a single self-report instrument to measure both predictor and outcome variables within the same administration session. This cannot be fully eliminated in a single-wave survey design; however, the anonymous character of the questionnaire and the neutral, non-leading wording of all items reduce its likely magnitude. These limitations are discussed further in the following section.</w:t>
      </w:r>
    </w:p>
    <w:bookmarkEnd w:id="36"/>
    <w:bookmarkStart w:id="37" w:name="limitations-of-the-study"/>
    <w:p>
      <w:pPr>
        <w:pStyle w:val="Heading3"/>
        <w:jc w:val="left"/>
        <w:spacing w:line="360" w:lineRule="auto"/>
      </w:pPr>
      <w:r>
        <w:rPr>
          <w:rFonts w:ascii="Times New Roman" w:hAnsi="Times New Roman"/>
          <w:b/>
          <w:sz w:val="24"/>
        </w:rPr>
        <w:t xml:space="preserve">3.10 Limitations of the Study</w:t>
      </w:r>
    </w:p>
    <w:p>
      <w:pPr>
        <w:pStyle w:val="FirstParagraph"/>
        <w:jc w:val="both"/>
        <w:spacing w:line="360" w:lineRule="auto"/>
      </w:pPr>
      <w:r>
        <w:rPr>
          <w:rFonts w:ascii="Times New Roman" w:hAnsi="Times New Roman"/>
          <w:sz w:val="24"/>
        </w:rPr>
        <w:t xml:space="preserve">Six principal methodological limitations of this study are acknowledged, each accompanied by the mitigation strategy employed.</w:t>
      </w:r>
    </w:p>
    <w:p>
      <w:pPr>
        <w:pStyle w:val="BodyText"/>
        <w:jc w:val="both"/>
        <w:spacing w:line="360" w:lineRule="auto"/>
      </w:pPr>
      <w:r>
        <w:rPr>
          <w:rFonts w:ascii="Times New Roman" w:hAnsi="Times New Roman"/>
          <w:sz w:val="24"/>
        </w:rPr>
        <w:t xml:space="preserve">The first and most significant limitation is the use of</w:t>
      </w:r>
      <w:r>
        <w:rPr>
          <w:rFonts w:ascii="Times New Roman" w:hAnsi="Times New Roman"/>
          <w:sz w:val="24"/>
        </w:rPr>
        <w:t xml:space="preserve"> </w:t>
      </w:r>
      <w:r>
        <w:rPr>
          <w:rFonts w:ascii="Times New Roman" w:hAnsi="Times New Roman"/>
          <w:b/>
          <w:bCs/>
          <w:sz w:val="24"/>
        </w:rPr>
        <w:t xml:space="preserve">non-probability convenience sampling</w:t>
      </w:r>
      <w:r>
        <w:rPr>
          <w:rFonts w:ascii="Times New Roman" w:hAnsi="Times New Roman"/>
          <w:sz w:val="24"/>
        </w:rPr>
        <w:t xml:space="preserve">. Because participants were recruited through personal contacts and institutional networks rather than drawn from a population registry by probabilistic means, the sample may overrepresent nurses employed at facilities with more advanced digital infrastructure or with a particularly engaged head nurse willing to facilitate data collection. The impact of this bias was partially mitigated by deliberately including facilities from at least three Slovak regions and by achieving representation from both inpatient and outpatient settings. Nevertheless, findings cannot be generalised to the entire Slovak nursing workforce without explicit qualification, and should be interpreted as indicative rather than definitive.</w:t>
      </w:r>
    </w:p>
    <w:p>
      <w:pPr>
        <w:pStyle w:val="BodyText"/>
        <w:jc w:val="both"/>
        <w:spacing w:line="360" w:lineRule="auto"/>
      </w:pPr>
      <w:r>
        <w:rPr>
          <w:rFonts w:ascii="Times New Roman" w:hAnsi="Times New Roman"/>
          <w:sz w:val="24"/>
        </w:rPr>
        <w:t xml:space="preserve">The second limitation concerns</w:t>
      </w:r>
      <w:r>
        <w:rPr>
          <w:rFonts w:ascii="Times New Roman" w:hAnsi="Times New Roman"/>
          <w:sz w:val="24"/>
        </w:rPr>
        <w:t xml:space="preserve"> </w:t>
      </w:r>
      <w:r>
        <w:rPr>
          <w:rFonts w:ascii="Times New Roman" w:hAnsi="Times New Roman"/>
          <w:b/>
          <w:bCs/>
          <w:sz w:val="24"/>
        </w:rPr>
        <w:t xml:space="preserve">self-report measurement</w:t>
      </w:r>
      <w:r>
        <w:rPr>
          <w:rFonts w:ascii="Times New Roman" w:hAnsi="Times New Roman"/>
          <w:sz w:val="24"/>
        </w:rPr>
        <w:t xml:space="preserve">. All data in this study — including the frequency of digital tool use and self-assessments of work efficiency — derive from respondents’ subjective reports rather than from objective usage logs, administrative records, or independently observed performance indicators. Self-report data are susceptible to recall bias, to acquiescence bias, and to the social desirability effects described in the preceding section. Anonymity and neutral item wording were employed as mitigations, but cannot entirely eliminate subjective reporting distortions.</w:t>
      </w:r>
    </w:p>
    <w:p>
      <w:pPr>
        <w:pStyle w:val="BodyText"/>
        <w:jc w:val="both"/>
        <w:spacing w:line="360" w:lineRule="auto"/>
      </w:pPr>
      <w:r>
        <w:rPr>
          <w:rFonts w:ascii="Times New Roman" w:hAnsi="Times New Roman"/>
          <w:sz w:val="24"/>
        </w:rPr>
        <w:t xml:space="preserve">The third limitation is the</w:t>
      </w:r>
      <w:r>
        <w:rPr>
          <w:rFonts w:ascii="Times New Roman" w:hAnsi="Times New Roman"/>
          <w:sz w:val="24"/>
        </w:rPr>
        <w:t xml:space="preserve"> </w:t>
      </w:r>
      <w:r>
        <w:rPr>
          <w:rFonts w:ascii="Times New Roman" w:hAnsi="Times New Roman"/>
          <w:b/>
          <w:bCs/>
          <w:sz w:val="24"/>
        </w:rPr>
        <w:t xml:space="preserve">cross-sectional design</w:t>
      </w:r>
      <w:r>
        <w:rPr>
          <w:rFonts w:ascii="Times New Roman" w:hAnsi="Times New Roman"/>
          <w:sz w:val="24"/>
        </w:rPr>
        <w:t xml:space="preserve">. Because all data were collected at a single time point, the study cannot establish the temporal sequence or directionality of the associations examined. The observed correlations between education or experience and technology-related variables do not permit causal inference and should not be interpreted as indicating that educational attainment produces higher technology use. All interpretive language in this thesis is accordingly restricted to associational and descriptive claims.</w:t>
      </w:r>
    </w:p>
    <w:p>
      <w:pPr>
        <w:pStyle w:val="BodyText"/>
        <w:jc w:val="both"/>
        <w:spacing w:line="360" w:lineRule="auto"/>
      </w:pPr>
      <w:r>
        <w:rPr>
          <w:rFonts w:ascii="Times New Roman" w:hAnsi="Times New Roman"/>
          <w:sz w:val="24"/>
        </w:rPr>
        <w:t xml:space="preserve">The fourth limitation is the</w:t>
      </w:r>
      <w:r>
        <w:rPr>
          <w:rFonts w:ascii="Times New Roman" w:hAnsi="Times New Roman"/>
          <w:sz w:val="24"/>
        </w:rPr>
        <w:t xml:space="preserve"> </w:t>
      </w:r>
      <w:r>
        <w:rPr>
          <w:rFonts w:ascii="Times New Roman" w:hAnsi="Times New Roman"/>
          <w:b/>
          <w:bCs/>
          <w:sz w:val="24"/>
        </w:rPr>
        <w:t xml:space="preserve">absence of test-retest reliability assessment</w:t>
      </w:r>
      <w:r>
        <w:rPr>
          <w:rFonts w:ascii="Times New Roman" w:hAnsi="Times New Roman"/>
          <w:sz w:val="24"/>
        </w:rPr>
        <w:t xml:space="preserve"> </w:t>
      </w:r>
      <w:r>
        <w:rPr>
          <w:rFonts w:ascii="Times New Roman" w:hAnsi="Times New Roman"/>
          <w:sz w:val="24"/>
        </w:rPr>
        <w:t xml:space="preserve">for the self-constructed instrument. The temporal stability of the questionnaire — that is, the extent to which it yields consistent responses from the same individuals across administrations separated by a short interval — was not evaluated, due to logistical constraints associated with recruiting the same participants twice within the available timeline. Internal consistency was assessed as a partial substitute; future research employing this instrument or a derivative should include a test-retest component with a two- to four-week interval.</w:t>
      </w:r>
    </w:p>
    <w:p>
      <w:pPr>
        <w:pStyle w:val="BodyText"/>
        <w:jc w:val="both"/>
        <w:spacing w:line="360" w:lineRule="auto"/>
      </w:pPr>
      <w:r>
        <w:rPr>
          <w:rFonts w:ascii="Times New Roman" w:hAnsi="Times New Roman"/>
          <w:sz w:val="24"/>
        </w:rPr>
        <w:t xml:space="preserve">The fifth limitation is the</w:t>
      </w:r>
      <w:r>
        <w:rPr>
          <w:rFonts w:ascii="Times New Roman" w:hAnsi="Times New Roman"/>
          <w:sz w:val="24"/>
        </w:rPr>
        <w:t xml:space="preserve"> </w:t>
      </w:r>
      <w:r>
        <w:rPr>
          <w:rFonts w:ascii="Times New Roman" w:hAnsi="Times New Roman"/>
          <w:b/>
          <w:bCs/>
          <w:sz w:val="24"/>
        </w:rPr>
        <w:t xml:space="preserve">non-standardised character of the research instrument</w:t>
      </w:r>
      <w:r>
        <w:rPr>
          <w:rFonts w:ascii="Times New Roman" w:hAnsi="Times New Roman"/>
          <w:sz w:val="24"/>
        </w:rPr>
        <w:t xml:space="preserve">. Unlike validated scales with established psychometric histories, the questionnaire constructed for this study has been subjected to expert review and pilot testing but has not undergone formal multi-stage validation with independent samples. The observed internal consistency coefficients therefore represent preliminary evidence of reliability rather than established psychometric quality. Future research should pursue formal validation of the instrument, including factor analysis with an adequately sized independent sample.</w:t>
      </w:r>
    </w:p>
    <w:p>
      <w:pPr>
        <w:pStyle w:val="BodyText"/>
        <w:jc w:val="both"/>
        <w:spacing w:line="360" w:lineRule="auto"/>
      </w:pPr>
      <w:r>
        <w:rPr>
          <w:rFonts w:ascii="Times New Roman" w:hAnsi="Times New Roman"/>
          <w:sz w:val="24"/>
        </w:rPr>
        <w:t xml:space="preserve">The sixth limitation is the</w:t>
      </w:r>
      <w:r>
        <w:rPr>
          <w:rFonts w:ascii="Times New Roman" w:hAnsi="Times New Roman"/>
          <w:sz w:val="24"/>
        </w:rPr>
        <w:t xml:space="preserve"> </w:t>
      </w:r>
      <w:r>
        <w:rPr>
          <w:rFonts w:ascii="Times New Roman" w:hAnsi="Times New Roman"/>
          <w:b/>
          <w:bCs/>
          <w:sz w:val="24"/>
        </w:rPr>
        <w:t xml:space="preserve">restriction of the study to the Slovak context</w:t>
      </w:r>
      <w:r>
        <w:rPr>
          <w:rFonts w:ascii="Times New Roman" w:hAnsi="Times New Roman"/>
          <w:sz w:val="24"/>
        </w:rPr>
        <w:t xml:space="preserve">. The findings reflect the specific digital infrastructure, nursing education system, healthcare organisational structures, and regulatory environment of Slovakia and may not transfer directly to other national settings. Cross-national comparisons should be made cautiously and only with reference to contextual similarities.</w:t>
      </w:r>
    </w:p>
    <w:p>
      <w:pPr>
        <w:jc w:val="both"/>
        <w:spacing w:line="360" w:lineRule="auto"/>
      </w:pPr>
      <w:r>
        <w:rPr>
          <w:rFonts w:ascii="Times New Roman" w:hAnsi="Times New Roman"/>
          <w:sz w:val="24"/>
        </w:rPr>
        <w:pict>
          <v:rect style="width:0;height:1.5pt" o:hralign="center" o:hrstd="t" o:hr="t"/>
        </w:pict>
      </w:r>
    </w:p>
    <w:bookmarkEnd w:id="37"/>
    <w:bookmarkEnd w:id="38"/>
    <w:bookmarkStart w:id="39" w:name="references"/>
    <w:p>
      <w:pPr>
        <w:pStyle w:val="Heading2"/>
        <w:jc w:val="left"/>
        <w:spacing w:line="360" w:lineRule="auto"/>
      </w:pPr>
      <w:r>
        <w:rPr>
          <w:rFonts w:ascii="Times New Roman" w:hAnsi="Times New Roman"/>
          <w:b/>
          <w:sz w:val="24"/>
        </w:rPr>
        <w:t xml:space="preserve">References</w:t>
      </w:r>
    </w:p>
    <w:p>
      <w:pPr>
        <w:pStyle w:val="FirstParagraph"/>
        <w:jc w:val="both"/>
        <w:spacing w:line="360" w:lineRule="auto"/>
      </w:pPr>
      <w:r>
        <w:rPr>
          <w:rFonts w:ascii="Times New Roman" w:hAnsi="Times New Roman"/>
          <w:sz w:val="24"/>
        </w:rPr>
        <w:t xml:space="preserve">Cohen, J. (1988).</w:t>
      </w:r>
      <w:r>
        <w:rPr>
          <w:rFonts w:ascii="Times New Roman" w:hAnsi="Times New Roman"/>
          <w:sz w:val="24"/>
        </w:rPr>
        <w:t xml:space="preserve"> </w:t>
      </w:r>
      <w:r>
        <w:rPr>
          <w:rFonts w:ascii="Times New Roman" w:hAnsi="Times New Roman"/>
          <w:i/>
          <w:iCs/>
          <w:sz w:val="24"/>
        </w:rPr>
        <w:t xml:space="preserve">Statistical power analysis for the behavioral sciences</w:t>
      </w:r>
      <w:r>
        <w:rPr>
          <w:rFonts w:ascii="Times New Roman" w:hAnsi="Times New Roman"/>
          <w:sz w:val="24"/>
        </w:rPr>
        <w:t xml:space="preserve"> </w:t>
      </w:r>
      <w:r>
        <w:rPr>
          <w:rFonts w:ascii="Times New Roman" w:hAnsi="Times New Roman"/>
          <w:sz w:val="24"/>
        </w:rPr>
        <w:t xml:space="preserve">(2nd ed.). Lawrence Erlbaum Associates.</w:t>
      </w:r>
    </w:p>
    <w:p>
      <w:pPr>
        <w:pStyle w:val="BodyText"/>
        <w:jc w:val="both"/>
        <w:spacing w:line="360" w:lineRule="auto"/>
      </w:pPr>
      <w:r>
        <w:rPr>
          <w:rFonts w:ascii="Times New Roman" w:hAnsi="Times New Roman"/>
          <w:sz w:val="24"/>
        </w:rPr>
        <w:t xml:space="preserve">Davis, F. D. (1989). Perceived usefulness, perceived ease of use, and user acceptance of information technology.</w:t>
      </w:r>
      <w:r>
        <w:rPr>
          <w:rFonts w:ascii="Times New Roman" w:hAnsi="Times New Roman"/>
          <w:sz w:val="24"/>
        </w:rPr>
        <w:t xml:space="preserve"> </w:t>
      </w:r>
      <w:r>
        <w:rPr>
          <w:rFonts w:ascii="Times New Roman" w:hAnsi="Times New Roman"/>
          <w:i/>
          <w:iCs/>
          <w:sz w:val="24"/>
        </w:rPr>
        <w:t xml:space="preserve">MIS Quarterly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13</w:t>
      </w:r>
      <w:r>
        <w:rPr>
          <w:rFonts w:ascii="Times New Roman" w:hAnsi="Times New Roman"/>
          <w:sz w:val="24"/>
        </w:rPr>
        <w:t xml:space="preserve">(3), 319–340. https://doi.org/10.2307/249008</w:t>
      </w:r>
    </w:p>
    <w:p>
      <w:pPr>
        <w:pStyle w:val="BodyText"/>
        <w:jc w:val="both"/>
        <w:spacing w:line="360" w:lineRule="auto"/>
      </w:pPr>
      <w:r>
        <w:rPr>
          <w:rFonts w:ascii="Times New Roman" w:hAnsi="Times New Roman"/>
          <w:sz w:val="24"/>
        </w:rPr>
        <w:t xml:space="preserve">Faul, F., Erdfelder, E., Lang, A.-G., &amp; Buchner, A. (2007). G</w:t>
      </w:r>
      <w:r>
        <w:rPr>
          <w:rFonts w:ascii="Times New Roman" w:hAnsi="Times New Roman"/>
          <w:i/>
          <w:iCs/>
          <w:sz w:val="24"/>
        </w:rPr>
        <w:t xml:space="preserve">Power 3: A flexible statistical power analysis program for the social, behavioral, and biomedical sciences.</w:t>
      </w:r>
      <w:r>
        <w:rPr>
          <w:rFonts w:ascii="Times New Roman" w:hAnsi="Times New Roman"/>
          <w:i/>
          <w:iCs/>
          <w:sz w:val="24"/>
        </w:rPr>
        <w:t xml:space="preserve"> </w:t>
      </w:r>
      <w:r>
        <w:rPr>
          <w:rFonts w:ascii="Times New Roman" w:hAnsi="Times New Roman"/>
          <w:sz w:val="24"/>
        </w:rPr>
        <w:t xml:space="preserve">Behavior Research Methods</w:t>
      </w:r>
      <w:r>
        <w:rPr>
          <w:rFonts w:ascii="Times New Roman" w:hAnsi="Times New Roman"/>
          <w:i/>
          <w:iCs/>
          <w:sz w:val="24"/>
        </w:rPr>
        <w:t xml:space="preserve">,</w:t>
      </w:r>
      <w:r>
        <w:rPr>
          <w:rFonts w:ascii="Times New Roman" w:hAnsi="Times New Roman"/>
          <w:i/>
          <w:iCs/>
          <w:sz w:val="24"/>
        </w:rPr>
        <w:t xml:space="preserve"> </w:t>
      </w:r>
      <w:r>
        <w:rPr>
          <w:rFonts w:ascii="Times New Roman" w:hAnsi="Times New Roman"/>
          <w:sz w:val="24"/>
        </w:rPr>
        <w:t xml:space="preserve">39*(2), 175–191. https://doi.org/10.3758/BF03193146</w:t>
      </w:r>
    </w:p>
    <w:p>
      <w:pPr>
        <w:pStyle w:val="BodyText"/>
        <w:jc w:val="both"/>
        <w:spacing w:line="360" w:lineRule="auto"/>
      </w:pPr>
      <w:r>
        <w:rPr>
          <w:rFonts w:ascii="Times New Roman" w:hAnsi="Times New Roman"/>
          <w:sz w:val="24"/>
        </w:rPr>
        <w:t xml:space="preserve">Hair, J. F., Black, W. C., Babin, B. J., &amp; Anderson, R. E. (2019).</w:t>
      </w:r>
      <w:r>
        <w:rPr>
          <w:rFonts w:ascii="Times New Roman" w:hAnsi="Times New Roman"/>
          <w:sz w:val="24"/>
        </w:rPr>
        <w:t xml:space="preserve"> </w:t>
      </w:r>
      <w:r>
        <w:rPr>
          <w:rFonts w:ascii="Times New Roman" w:hAnsi="Times New Roman"/>
          <w:i/>
          <w:iCs/>
          <w:sz w:val="24"/>
        </w:rPr>
        <w:t xml:space="preserve">Multivariate data analysis</w:t>
      </w:r>
      <w:r>
        <w:rPr>
          <w:rFonts w:ascii="Times New Roman" w:hAnsi="Times New Roman"/>
          <w:sz w:val="24"/>
        </w:rPr>
        <w:t xml:space="preserve"> </w:t>
      </w:r>
      <w:r>
        <w:rPr>
          <w:rFonts w:ascii="Times New Roman" w:hAnsi="Times New Roman"/>
          <w:sz w:val="24"/>
        </w:rPr>
        <w:t xml:space="preserve">(8th ed.). Cengage Learning.</w:t>
      </w:r>
    </w:p>
    <w:p>
      <w:pPr>
        <w:pStyle w:val="BodyText"/>
        <w:jc w:val="both"/>
        <w:spacing w:line="360" w:lineRule="auto"/>
      </w:pPr>
      <w:r>
        <w:rPr>
          <w:rFonts w:ascii="Times New Roman" w:hAnsi="Times New Roman"/>
          <w:sz w:val="24"/>
        </w:rPr>
        <w:t xml:space="preserve">Kelley, K., Clark, B., Brown, V., &amp; Sitzia, J. (2003). Good practice in the conduct and reporting of survey research.</w:t>
      </w:r>
      <w:r>
        <w:rPr>
          <w:rFonts w:ascii="Times New Roman" w:hAnsi="Times New Roman"/>
          <w:sz w:val="24"/>
        </w:rPr>
        <w:t xml:space="preserve"> </w:t>
      </w:r>
      <w:r>
        <w:rPr>
          <w:rFonts w:ascii="Times New Roman" w:hAnsi="Times New Roman"/>
          <w:i/>
          <w:iCs/>
          <w:sz w:val="24"/>
        </w:rPr>
        <w:t xml:space="preserve">International Journal for Quality in Health Care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15</w:t>
      </w:r>
      <w:r>
        <w:rPr>
          <w:rFonts w:ascii="Times New Roman" w:hAnsi="Times New Roman"/>
          <w:sz w:val="24"/>
        </w:rPr>
        <w:t xml:space="preserve">(3), 261–266. https://doi.org/10.1093/intqhc/mzg031</w:t>
      </w:r>
    </w:p>
    <w:p>
      <w:pPr>
        <w:pStyle w:val="BodyText"/>
        <w:jc w:val="both"/>
        <w:spacing w:line="360" w:lineRule="auto"/>
      </w:pPr>
      <w:r>
        <w:rPr>
          <w:rFonts w:ascii="Times New Roman" w:hAnsi="Times New Roman"/>
          <w:sz w:val="24"/>
        </w:rPr>
        <w:t xml:space="preserve">Nunnally, J. C. (1978).</w:t>
      </w:r>
      <w:r>
        <w:rPr>
          <w:rFonts w:ascii="Times New Roman" w:hAnsi="Times New Roman"/>
          <w:sz w:val="24"/>
        </w:rPr>
        <w:t xml:space="preserve"> </w:t>
      </w:r>
      <w:r>
        <w:rPr>
          <w:rFonts w:ascii="Times New Roman" w:hAnsi="Times New Roman"/>
          <w:i/>
          <w:iCs/>
          <w:sz w:val="24"/>
        </w:rPr>
        <w:t xml:space="preserve">Psychometric theory</w:t>
      </w:r>
      <w:r>
        <w:rPr>
          <w:rFonts w:ascii="Times New Roman" w:hAnsi="Times New Roman"/>
          <w:sz w:val="24"/>
        </w:rPr>
        <w:t xml:space="preserve"> </w:t>
      </w:r>
      <w:r>
        <w:rPr>
          <w:rFonts w:ascii="Times New Roman" w:hAnsi="Times New Roman"/>
          <w:sz w:val="24"/>
        </w:rPr>
        <w:t xml:space="preserve">(2nd ed.). McGraw-Hill.</w:t>
      </w:r>
    </w:p>
    <w:p>
      <w:pPr>
        <w:pStyle w:val="BodyText"/>
        <w:jc w:val="both"/>
        <w:spacing w:line="360" w:lineRule="auto"/>
      </w:pPr>
      <w:r>
        <w:rPr>
          <w:rFonts w:ascii="Times New Roman" w:hAnsi="Times New Roman"/>
          <w:sz w:val="24"/>
        </w:rPr>
        <w:t xml:space="preserve">Polit, D. F., &amp; Beck, C. T. (2021).</w:t>
      </w:r>
      <w:r>
        <w:rPr>
          <w:rFonts w:ascii="Times New Roman" w:hAnsi="Times New Roman"/>
          <w:sz w:val="24"/>
        </w:rPr>
        <w:t xml:space="preserve"> </w:t>
      </w:r>
      <w:r>
        <w:rPr>
          <w:rFonts w:ascii="Times New Roman" w:hAnsi="Times New Roman"/>
          <w:i/>
          <w:iCs/>
          <w:sz w:val="24"/>
        </w:rPr>
        <w:t xml:space="preserve">Nursing research: Generating and assessing evidence for nursing practice</w:t>
      </w:r>
      <w:r>
        <w:rPr>
          <w:rFonts w:ascii="Times New Roman" w:hAnsi="Times New Roman"/>
          <w:sz w:val="24"/>
        </w:rPr>
        <w:t xml:space="preserve"> </w:t>
      </w:r>
      <w:r>
        <w:rPr>
          <w:rFonts w:ascii="Times New Roman" w:hAnsi="Times New Roman"/>
          <w:sz w:val="24"/>
        </w:rPr>
        <w:t xml:space="preserve">(11th ed.). Wolters Kluwer.</w:t>
      </w:r>
    </w:p>
    <w:p>
      <w:pPr>
        <w:jc w:val="both"/>
        <w:spacing w:line="360" w:lineRule="auto"/>
      </w:pPr>
      <w:r>
        <w:rPr>
          <w:rFonts w:ascii="Times New Roman" w:hAnsi="Times New Roman"/>
          <w:sz w:val="24"/>
        </w:rPr>
        <w:pict>
          <v:rect style="width:0;height:1.5pt" o:hralign="center" o:hrstd="t" o:hr="t"/>
        </w:pict>
      </w:r>
    </w:p>
    <w:bookmarkEnd w:id="39"/>
    <w:bookmarkStart w:id="44" w:name="appendices"/>
    <w:p>
      <w:pPr>
        <w:pStyle w:val="Heading2"/>
        <w:jc w:val="left"/>
        <w:spacing w:line="360" w:lineRule="auto"/>
      </w:pPr>
      <w:r>
        <w:rPr>
          <w:rFonts w:ascii="Times New Roman" w:hAnsi="Times New Roman"/>
          <w:b/>
          <w:sz w:val="24"/>
        </w:rPr>
        <w:t xml:space="preserve">Appendices</w:t>
      </w:r>
    </w:p>
    <w:bookmarkStart w:id="40" w:name="X812d8fe1ece4d99ac9aea716233ba8035db9595"/>
    <w:p>
      <w:pPr>
        <w:pStyle w:val="Heading3"/>
        <w:jc w:val="left"/>
        <w:spacing w:line="360" w:lineRule="auto"/>
      </w:pPr>
      <w:r>
        <w:rPr>
          <w:rFonts w:ascii="Times New Roman" w:hAnsi="Times New Roman"/>
          <w:b/>
          <w:sz w:val="24"/>
        </w:rPr>
        <w:t xml:space="preserve">Appendix A — Research Questionnaire (Slovak original)</w:t>
      </w:r>
    </w:p>
    <w:p>
      <w:pPr>
        <w:pStyle w:val="FirstParagraph"/>
        <w:jc w:val="both"/>
        <w:spacing w:line="360" w:lineRule="auto"/>
      </w:pPr>
      <w:r>
        <w:rPr>
          <w:rFonts w:ascii="Times New Roman" w:hAnsi="Times New Roman"/>
          <w:sz w:val="24"/>
        </w:rPr>
        <w:t xml:space="preserve">[To be inserted: full text of the 36-item questionnaire in Slovak, as administered to respondents]</w:t>
      </w:r>
    </w:p>
    <w:bookmarkEnd w:id="40"/>
    <w:bookmarkStart w:id="41" w:name="X28749c6a044a6496e1de6c8884d7064bfc21594"/>
    <w:p>
      <w:pPr>
        <w:pStyle w:val="Heading3"/>
        <w:jc w:val="left"/>
        <w:spacing w:line="360" w:lineRule="auto"/>
      </w:pPr>
      <w:r>
        <w:rPr>
          <w:rFonts w:ascii="Times New Roman" w:hAnsi="Times New Roman"/>
          <w:b/>
          <w:sz w:val="24"/>
        </w:rPr>
        <w:t xml:space="preserve">Appendix B — English Translation of the Questionnaire</w:t>
      </w:r>
    </w:p>
    <w:p>
      <w:pPr>
        <w:pStyle w:val="FirstParagraph"/>
        <w:jc w:val="both"/>
        <w:spacing w:line="360" w:lineRule="auto"/>
      </w:pPr>
      <w:r>
        <w:rPr>
          <w:rFonts w:ascii="Times New Roman" w:hAnsi="Times New Roman"/>
          <w:sz w:val="24"/>
        </w:rPr>
        <w:t xml:space="preserve">[To be inserted: full English translation of the questionnaire for international readability]</w:t>
      </w:r>
    </w:p>
    <w:bookmarkEnd w:id="41"/>
    <w:bookmarkStart w:id="42" w:name="appendix-c-expert-review-summary"/>
    <w:p>
      <w:pPr>
        <w:pStyle w:val="Heading3"/>
        <w:jc w:val="left"/>
        <w:spacing w:line="360" w:lineRule="auto"/>
      </w:pPr>
      <w:r>
        <w:rPr>
          <w:rFonts w:ascii="Times New Roman" w:hAnsi="Times New Roman"/>
          <w:b/>
          <w:sz w:val="24"/>
        </w:rPr>
        <w:t xml:space="preserve">Appendix C — Expert Review Summary</w:t>
      </w:r>
    </w:p>
    <w:p>
      <w:pPr>
        <w:pStyle w:val="FirstParagraph"/>
        <w:jc w:val="both"/>
        <w:spacing w:line="360" w:lineRule="auto"/>
      </w:pPr>
      <w:r>
        <w:rPr>
          <w:rFonts w:ascii="Times New Roman" w:hAnsi="Times New Roman"/>
          <w:sz w:val="24"/>
        </w:rPr>
        <w:t xml:space="preserve">[To be inserted: summary of expert feedback received during instrument construction, items revised, and rationale for changes]</w:t>
      </w:r>
    </w:p>
    <w:bookmarkEnd w:id="42"/>
    <w:bookmarkStart w:id="43" w:name="X4a516e45a4f91eccc8a696e763052f30197ade6"/>
    <w:p>
      <w:pPr>
        <w:pStyle w:val="Heading3"/>
        <w:jc w:val="left"/>
        <w:spacing w:line="360" w:lineRule="auto"/>
      </w:pPr>
      <w:r>
        <w:rPr>
          <w:rFonts w:ascii="Times New Roman" w:hAnsi="Times New Roman"/>
          <w:b/>
          <w:sz w:val="24"/>
        </w:rPr>
        <w:t xml:space="preserve">Appendix D — Variable Definitions and Operationalisation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 Type</w:t>
            </w:r>
          </w:p>
        </w:tc>
        <w:tc>
          <w:tcPr/>
          <w:p>
            <w:pPr>
              <w:pStyle w:val="Compact"/>
              <w:jc w:val="left"/>
            </w:pPr>
            <w:r>
              <w:t xml:space="preserve">Variable Name</w:t>
            </w:r>
          </w:p>
        </w:tc>
        <w:tc>
          <w:tcPr/>
          <w:p>
            <w:pPr>
              <w:pStyle w:val="Compact"/>
              <w:jc w:val="left"/>
            </w:pPr>
            <w:r>
              <w:t xml:space="preserve">Operational Definition</w:t>
            </w:r>
          </w:p>
        </w:tc>
        <w:tc>
          <w:tcPr/>
          <w:p>
            <w:pPr>
              <w:pStyle w:val="Compact"/>
              <w:jc w:val="left"/>
            </w:pPr>
            <w:r>
              <w:t xml:space="preserve">Measurement</w:t>
            </w:r>
          </w:p>
        </w:tc>
        <w:tc>
          <w:tcPr/>
          <w:p>
            <w:pPr>
              <w:pStyle w:val="Compact"/>
              <w:jc w:val="left"/>
            </w:pPr>
            <w:r>
              <w:t xml:space="preserve">Scale</w:t>
            </w:r>
          </w:p>
        </w:tc>
      </w:tr>
      <w:tr>
        <w:tc>
          <w:tcPr/>
          <w:p>
            <w:pPr>
              <w:pStyle w:val="Compact"/>
              <w:jc w:val="left"/>
            </w:pPr>
            <w:r>
              <w:t xml:space="preserve">Independent</w:t>
            </w:r>
          </w:p>
        </w:tc>
        <w:tc>
          <w:tcPr/>
          <w:p>
            <w:pPr>
              <w:pStyle w:val="Compact"/>
              <w:jc w:val="left"/>
            </w:pPr>
            <w:r>
              <w:t xml:space="preserve">Education level</w:t>
            </w:r>
          </w:p>
        </w:tc>
        <w:tc>
          <w:tcPr/>
          <w:p>
            <w:pPr>
              <w:pStyle w:val="Compact"/>
              <w:jc w:val="left"/>
            </w:pPr>
            <w:r>
              <w:t xml:space="preserve">Highest completed nursing qualification</w:t>
            </w:r>
          </w:p>
        </w:tc>
        <w:tc>
          <w:tcPr/>
          <w:p>
            <w:pPr>
              <w:pStyle w:val="Compact"/>
              <w:jc w:val="left"/>
            </w:pPr>
            <w:r>
              <w:t xml:space="preserve">Self-report checklist (secondary / Bc. / Mgr. / PhD.)</w:t>
            </w:r>
          </w:p>
        </w:tc>
        <w:tc>
          <w:tcPr/>
          <w:p>
            <w:pPr>
              <w:pStyle w:val="Compact"/>
              <w:jc w:val="left"/>
            </w:pPr>
            <w:r>
              <w:t xml:space="preserve">Nominal, dichotomised for H2</w:t>
            </w:r>
          </w:p>
        </w:tc>
      </w:tr>
      <w:tr>
        <w:tc>
          <w:tcPr/>
          <w:p>
            <w:pPr>
              <w:pStyle w:val="Compact"/>
              <w:jc w:val="left"/>
            </w:pPr>
            <w:r>
              <w:t xml:space="preserve">Independent</w:t>
            </w:r>
          </w:p>
        </w:tc>
        <w:tc>
          <w:tcPr/>
          <w:p>
            <w:pPr>
              <w:pStyle w:val="Compact"/>
              <w:jc w:val="left"/>
            </w:pPr>
            <w:r>
              <w:t xml:space="preserve">Years of clinical experience</w:t>
            </w:r>
          </w:p>
        </w:tc>
        <w:tc>
          <w:tcPr/>
          <w:p>
            <w:pPr>
              <w:pStyle w:val="Compact"/>
              <w:jc w:val="left"/>
            </w:pPr>
            <w:r>
              <w:t xml:space="preserve">Total years of active nursing practice</w:t>
            </w:r>
          </w:p>
        </w:tc>
        <w:tc>
          <w:tcPr/>
          <w:p>
            <w:pPr>
              <w:pStyle w:val="Compact"/>
              <w:jc w:val="left"/>
            </w:pPr>
            <w:r>
              <w:t xml:space="preserve">Self-report, categorised (0–5 / 6–10 / 11–20 / &gt;20 years)</w:t>
            </w:r>
          </w:p>
        </w:tc>
        <w:tc>
          <w:tcPr/>
          <w:p>
            <w:pPr>
              <w:pStyle w:val="Compact"/>
              <w:jc w:val="left"/>
            </w:pPr>
            <w:r>
              <w:t xml:space="preserve">Ordinal</w:t>
            </w:r>
          </w:p>
        </w:tc>
      </w:tr>
      <w:tr>
        <w:tc>
          <w:tcPr/>
          <w:p>
            <w:pPr>
              <w:pStyle w:val="Compact"/>
              <w:jc w:val="left"/>
            </w:pPr>
            <w:r>
              <w:t xml:space="preserve">Dependent</w:t>
            </w:r>
          </w:p>
        </w:tc>
        <w:tc>
          <w:tcPr/>
          <w:p>
            <w:pPr>
              <w:pStyle w:val="Compact"/>
              <w:jc w:val="left"/>
            </w:pPr>
            <w:r>
              <w:t xml:space="preserve">Frequency of digital tool use</w:t>
            </w:r>
          </w:p>
        </w:tc>
        <w:tc>
          <w:tcPr/>
          <w:p>
            <w:pPr>
              <w:pStyle w:val="Compact"/>
              <w:jc w:val="left"/>
            </w:pPr>
            <w:r>
              <w:t xml:space="preserve">Self-reported frequency of any digital tool use</w:t>
            </w:r>
          </w:p>
        </w:tc>
        <w:tc>
          <w:tcPr/>
          <w:p>
            <w:pPr>
              <w:pStyle w:val="Compact"/>
              <w:jc w:val="left"/>
            </w:pPr>
            <w:r>
              <w:t xml:space="preserve">5-point ordinal scale (never → several times/day)</w:t>
            </w:r>
          </w:p>
        </w:tc>
        <w:tc>
          <w:tcPr/>
          <w:p>
            <w:pPr>
              <w:pStyle w:val="Compact"/>
              <w:jc w:val="left"/>
            </w:pPr>
            <w:r>
              <w:t xml:space="preserve">Ordinal</w:t>
            </w:r>
          </w:p>
        </w:tc>
      </w:tr>
      <w:tr>
        <w:tc>
          <w:tcPr/>
          <w:p>
            <w:pPr>
              <w:pStyle w:val="Compact"/>
              <w:jc w:val="left"/>
            </w:pPr>
            <w:r>
              <w:t xml:space="preserve">Dependent</w:t>
            </w:r>
          </w:p>
        </w:tc>
        <w:tc>
          <w:tcPr/>
          <w:p>
            <w:pPr>
              <w:pStyle w:val="Compact"/>
              <w:jc w:val="left"/>
            </w:pPr>
            <w:r>
              <w:t xml:space="preserve">Self-rated work efficiency</w:t>
            </w:r>
          </w:p>
        </w:tc>
        <w:tc>
          <w:tcPr/>
          <w:p>
            <w:pPr>
              <w:pStyle w:val="Compact"/>
              <w:jc w:val="left"/>
            </w:pPr>
            <w:r>
              <w:t xml:space="preserve">Perceived impact of digital tools on personal efficiency</w:t>
            </w:r>
          </w:p>
        </w:tc>
        <w:tc>
          <w:tcPr/>
          <w:p>
            <w:pPr>
              <w:pStyle w:val="Compact"/>
              <w:jc w:val="left"/>
            </w:pPr>
            <w:r>
              <w:t xml:space="preserve">5-point Likert (markedly decreases → markedly increases)</w:t>
            </w:r>
          </w:p>
        </w:tc>
        <w:tc>
          <w:tcPr/>
          <w:p>
            <w:pPr>
              <w:pStyle w:val="Compact"/>
              <w:jc w:val="left"/>
            </w:pPr>
            <w:r>
              <w:t xml:space="preserve">Ordinal</w:t>
            </w:r>
          </w:p>
        </w:tc>
      </w:tr>
      <w:tr>
        <w:tc>
          <w:tcPr/>
          <w:p>
            <w:pPr>
              <w:pStyle w:val="Compact"/>
              <w:jc w:val="left"/>
            </w:pPr>
            <w:r>
              <w:t xml:space="preserve">Dependent</w:t>
            </w:r>
          </w:p>
        </w:tc>
        <w:tc>
          <w:tcPr/>
          <w:p>
            <w:pPr>
              <w:pStyle w:val="Compact"/>
              <w:jc w:val="left"/>
            </w:pPr>
            <w:r>
              <w:t xml:space="preserve">Attitude toward digital technologies</w:t>
            </w:r>
          </w:p>
        </w:tc>
        <w:tc>
          <w:tcPr/>
          <w:p>
            <w:pPr>
              <w:pStyle w:val="Compact"/>
              <w:jc w:val="left"/>
            </w:pPr>
            <w:r>
              <w:t xml:space="preserve">Overall attitudinal orientation toward digitalisation in nursing</w:t>
            </w:r>
          </w:p>
        </w:tc>
        <w:tc>
          <w:tcPr/>
          <w:p>
            <w:pPr>
              <w:pStyle w:val="Compact"/>
              <w:jc w:val="left"/>
            </w:pPr>
            <w:r>
              <w:t xml:space="preserve">5-point Likert (strongly negative → strongly positive)</w:t>
            </w:r>
          </w:p>
        </w:tc>
        <w:tc>
          <w:tcPr/>
          <w:p>
            <w:pPr>
              <w:pStyle w:val="Compact"/>
              <w:jc w:val="left"/>
            </w:pPr>
            <w:r>
              <w:t xml:space="preserve">Ordinal</w:t>
            </w:r>
          </w:p>
        </w:tc>
      </w:tr>
      <w:tr>
        <w:tc>
          <w:tcPr/>
          <w:p>
            <w:pPr>
              <w:pStyle w:val="Compact"/>
              <w:jc w:val="left"/>
            </w:pPr>
            <w:r>
              <w:t xml:space="preserve">Dependent</w:t>
            </w:r>
          </w:p>
        </w:tc>
        <w:tc>
          <w:tcPr/>
          <w:p>
            <w:pPr>
              <w:pStyle w:val="Compact"/>
              <w:jc w:val="left"/>
            </w:pPr>
            <w:r>
              <w:t xml:space="preserve">EHR quality/safety assessment</w:t>
            </w:r>
          </w:p>
        </w:tc>
        <w:tc>
          <w:tcPr/>
          <w:p>
            <w:pPr>
              <w:pStyle w:val="Compact"/>
              <w:jc w:val="left"/>
            </w:pPr>
            <w:r>
              <w:t xml:space="preserve">Perceived contribution of EHR to patient care quality and safety</w:t>
            </w:r>
          </w:p>
        </w:tc>
        <w:tc>
          <w:tcPr/>
          <w:p>
            <w:pPr>
              <w:pStyle w:val="Compact"/>
              <w:jc w:val="left"/>
            </w:pPr>
            <w:r>
              <w:t xml:space="preserve">5-point Likert (markedly worsens → markedly improves)</w:t>
            </w:r>
          </w:p>
        </w:tc>
        <w:tc>
          <w:tcPr/>
          <w:p>
            <w:pPr>
              <w:pStyle w:val="Compact"/>
              <w:jc w:val="left"/>
            </w:pPr>
            <w:r>
              <w:t xml:space="preserve">Ordinal</w:t>
            </w:r>
          </w:p>
        </w:tc>
      </w:tr>
      <w:tr>
        <w:tc>
          <w:tcPr/>
          <w:p>
            <w:pPr>
              <w:pStyle w:val="Compact"/>
              <w:jc w:val="left"/>
            </w:pPr>
            <w:r>
              <w:t xml:space="preserve">Control</w:t>
            </w:r>
          </w:p>
        </w:tc>
        <w:tc>
          <w:tcPr/>
          <w:p>
            <w:pPr>
              <w:pStyle w:val="Compact"/>
              <w:jc w:val="left"/>
            </w:pPr>
            <w:r>
              <w:t xml:space="preserve">Type of workplace</w:t>
            </w:r>
          </w:p>
        </w:tc>
        <w:tc>
          <w:tcPr/>
          <w:p>
            <w:pPr>
              <w:pStyle w:val="Compact"/>
              <w:jc w:val="left"/>
            </w:pPr>
            <w:r>
              <w:t xml:space="preserve">Inpatient vs. outpatient setting</w:t>
            </w:r>
          </w:p>
        </w:tc>
        <w:tc>
          <w:tcPr/>
          <w:p>
            <w:pPr>
              <w:pStyle w:val="Compact"/>
              <w:jc w:val="left"/>
            </w:pPr>
            <w:r>
              <w:t xml:space="preserve">Dichotomous self-report</w:t>
            </w:r>
          </w:p>
        </w:tc>
        <w:tc>
          <w:tcPr/>
          <w:p>
            <w:pPr>
              <w:pStyle w:val="Compact"/>
              <w:jc w:val="left"/>
            </w:pPr>
            <w:r>
              <w:t xml:space="preserve">Nominal</w:t>
            </w:r>
          </w:p>
        </w:tc>
      </w:tr>
      <w:tr>
        <w:tc>
          <w:tcPr/>
          <w:p>
            <w:pPr>
              <w:pStyle w:val="Compact"/>
              <w:jc w:val="left"/>
            </w:pPr>
            <w:r>
              <w:t xml:space="preserve">Control</w:t>
            </w:r>
          </w:p>
        </w:tc>
        <w:tc>
          <w:tcPr/>
          <w:p>
            <w:pPr>
              <w:pStyle w:val="Compact"/>
              <w:jc w:val="left"/>
            </w:pPr>
            <w:r>
              <w:t xml:space="preserve">Age</w:t>
            </w:r>
          </w:p>
        </w:tc>
        <w:tc>
          <w:tcPr/>
          <w:p>
            <w:pPr>
              <w:pStyle w:val="Compact"/>
              <w:jc w:val="left"/>
            </w:pPr>
            <w:r>
              <w:t xml:space="preserve">Age in completed years</w:t>
            </w:r>
          </w:p>
        </w:tc>
        <w:tc>
          <w:tcPr/>
          <w:p>
            <w:pPr>
              <w:pStyle w:val="Compact"/>
              <w:jc w:val="left"/>
            </w:pPr>
            <w:r>
              <w:t xml:space="preserve">Continuous self-report</w:t>
            </w:r>
          </w:p>
        </w:tc>
        <w:tc>
          <w:tcPr/>
          <w:p>
            <w:pPr>
              <w:pStyle w:val="Compact"/>
              <w:jc w:val="left"/>
            </w:pPr>
            <w:r>
              <w:t xml:space="preserve">Ratio</w:t>
            </w:r>
          </w:p>
        </w:tc>
      </w:tr>
      <w:tr>
        <w:tc>
          <w:tcPr/>
          <w:p>
            <w:pPr>
              <w:pStyle w:val="Compact"/>
              <w:jc w:val="left"/>
            </w:pPr>
            <w:r>
              <w:t xml:space="preserve">Control</w:t>
            </w:r>
          </w:p>
        </w:tc>
        <w:tc>
          <w:tcPr/>
          <w:p>
            <w:pPr>
              <w:pStyle w:val="Compact"/>
              <w:jc w:val="left"/>
            </w:pPr>
            <w:r>
              <w:t xml:space="preserve">Clinical department</w:t>
            </w:r>
          </w:p>
        </w:tc>
        <w:tc>
          <w:tcPr/>
          <w:p>
            <w:pPr>
              <w:pStyle w:val="Compact"/>
              <w:jc w:val="left"/>
            </w:pPr>
            <w:r>
              <w:t xml:space="preserve">Primary area of nursing specialisation</w:t>
            </w:r>
          </w:p>
        </w:tc>
        <w:tc>
          <w:tcPr/>
          <w:p>
            <w:pPr>
              <w:pStyle w:val="Compact"/>
              <w:jc w:val="left"/>
            </w:pPr>
            <w:r>
              <w:t xml:space="preserve">Nominal checklist</w:t>
            </w:r>
          </w:p>
        </w:tc>
        <w:tc>
          <w:tcPr/>
          <w:p>
            <w:pPr>
              <w:pStyle w:val="Compact"/>
              <w:jc w:val="left"/>
            </w:pPr>
            <w:r>
              <w:t xml:space="preserve">Nominal</w:t>
            </w:r>
          </w:p>
        </w:tc>
      </w:tr>
    </w:tbl>
    <w:p>
      <w:pPr>
        <w:jc w:val="both"/>
        <w:spacing w:line="360" w:lineRule="auto"/>
      </w:pPr>
      <w:r>
        <w:rPr>
          <w:rFonts w:ascii="Times New Roman" w:hAnsi="Times New Roman"/>
          <w:sz w:val="24"/>
        </w:rPr>
        <w:pict>
          <v:rect style="width:0;height:1.5pt" o:hralign="center" o:hrstd="t" o:hr="t"/>
        </w:pict>
      </w:r>
    </w:p>
    <w:bookmarkEnd w:id="43"/>
    <w:bookmarkEnd w:id="44"/>
    <w:bookmarkStart w:id="65" w:name="chapter-4-results"/>
    <w:p>
      <w:pPr>
        <w:pStyle w:val="Heading2"/>
        <w:jc w:val="left"/>
        <w:spacing w:line="360" w:lineRule="auto"/>
      </w:pPr>
      <w:r>
        <w:rPr>
          <w:rFonts w:ascii="Times New Roman" w:hAnsi="Times New Roman"/>
          <w:b/>
          <w:sz w:val="24"/>
        </w:rPr>
        <w:t xml:space="preserve">Chapter 4: Results</w:t>
      </w:r>
    </w:p>
    <w:p>
      <w:pPr>
        <w:pStyle w:val="FirstParagraph"/>
        <w:jc w:val="both"/>
        <w:spacing w:line="360" w:lineRule="auto"/>
      </w:pPr>
      <w:r>
        <w:rPr>
          <w:rFonts w:ascii="Times New Roman" w:hAnsi="Times New Roman"/>
          <w:sz w:val="24"/>
        </w:rPr>
        <w:t xml:space="preserve">This chapter presents the findings of the empirical investigation in objective, descriptive form. All results are reported as observed from the analysed dataset; no interpretation is offered in this chapter. Statistical interpretation, comparison with the literature, and evaluation of the research hypotheses are reserved for Chapter 5. Tables and figures are numbered consecutively throughout the chapter.</w:t>
      </w:r>
    </w:p>
    <w:bookmarkStart w:id="49" w:name="sample-characteristics"/>
    <w:p>
      <w:pPr>
        <w:pStyle w:val="Heading3"/>
        <w:jc w:val="left"/>
        <w:spacing w:line="360" w:lineRule="auto"/>
      </w:pPr>
      <w:r>
        <w:rPr>
          <w:rFonts w:ascii="Times New Roman" w:hAnsi="Times New Roman"/>
          <w:b/>
          <w:sz w:val="24"/>
        </w:rPr>
        <w:t xml:space="preserve">4.1 Sample Characteristics</w:t>
      </w:r>
    </w:p>
    <w:p>
      <w:pPr>
        <w:pStyle w:val="FirstParagraph"/>
        <w:jc w:val="both"/>
        <w:spacing w:line="360" w:lineRule="auto"/>
      </w:pPr>
      <w:r>
        <w:rPr>
          <w:rFonts w:ascii="Times New Roman" w:hAnsi="Times New Roman"/>
          <w:sz w:val="24"/>
        </w:rPr>
        <w:t xml:space="preserve">A total of [DATA PENDING: n] questionnaires were distributed across [DATA PENDING: number] healthcare facilities. Of these, [DATA PENDING: n] were returned completed, representing a response rate of [DATA PENDING: %]. Following exclusion of [DATA PENDING: n] questionnaires with more than 20% of substantive items unanswered, the final analytical sample comprised [DATA PENDING: n] respondents.</w:t>
      </w:r>
    </w:p>
    <w:bookmarkStart w:id="45" w:name="demographic-profile"/>
    <w:p>
      <w:pPr>
        <w:pStyle w:val="Heading4"/>
        <w:jc w:val="left"/>
        <w:spacing w:line="360" w:lineRule="auto"/>
      </w:pPr>
      <w:r>
        <w:rPr>
          <w:rFonts w:ascii="Times New Roman" w:hAnsi="Times New Roman"/>
          <w:b/>
          <w:sz w:val="24"/>
        </w:rPr>
        <w:t xml:space="preserve">4.1.1 Demographic Profile</w:t>
      </w:r>
    </w:p>
    <w:p>
      <w:pPr>
        <w:pStyle w:val="FirstParagraph"/>
        <w:jc w:val="both"/>
        <w:spacing w:line="360" w:lineRule="auto"/>
      </w:pPr>
      <w:r>
        <w:rPr>
          <w:rFonts w:ascii="Times New Roman" w:hAnsi="Times New Roman"/>
          <w:b/>
          <w:bCs/>
          <w:sz w:val="24"/>
        </w:rPr>
        <w:t xml:space="preserve">Table 4.1 — Distribution of respondents by sex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Sex</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Female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Male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The sample was predominantly [DATA PENDING: female/male], consistent with the overall demographic structure of the nursing workforce in Slovakia, where women represent approximately [DATA PENDING: %] of registered nurses.</w:t>
      </w:r>
    </w:p>
    <w:p>
      <w:pPr>
        <w:pStyle w:val="BodyText"/>
        <w:jc w:val="both"/>
        <w:spacing w:line="360" w:lineRule="auto"/>
      </w:pPr>
      <w:r>
        <w:rPr>
          <w:rFonts w:ascii="Times New Roman" w:hAnsi="Times New Roman"/>
          <w:b/>
          <w:bCs/>
          <w:sz w:val="24"/>
        </w:rPr>
        <w:t xml:space="preserve">Table 4.2 — Distribution of respondents by age group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Age group (years)</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 30</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31–40</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41–50</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&gt; 50</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The mean age of respondents was [DATA PENDING: M = x.x years, SD = x.x]; the median age was [DATA PENDING: x] years, with an observed range of [DATA PENDING: min–max] years.</w:t>
      </w:r>
    </w:p>
    <w:bookmarkEnd w:id="45"/>
    <w:bookmarkStart w:id="46" w:name="educational-profile"/>
    <w:p>
      <w:pPr>
        <w:pStyle w:val="Heading4"/>
        <w:jc w:val="left"/>
        <w:spacing w:line="360" w:lineRule="auto"/>
      </w:pPr>
      <w:r>
        <w:rPr>
          <w:rFonts w:ascii="Times New Roman" w:hAnsi="Times New Roman"/>
          <w:b/>
          <w:sz w:val="24"/>
        </w:rPr>
        <w:t xml:space="preserve">4.1.2 Educational Profile</w:t>
      </w:r>
    </w:p>
    <w:p>
      <w:pPr>
        <w:pStyle w:val="FirstParagraph"/>
        <w:jc w:val="both"/>
        <w:spacing w:line="360" w:lineRule="auto"/>
      </w:pPr>
      <w:r>
        <w:rPr>
          <w:rFonts w:ascii="Times New Roman" w:hAnsi="Times New Roman"/>
          <w:b/>
          <w:bCs/>
          <w:sz w:val="24"/>
        </w:rPr>
        <w:t xml:space="preserve">Table 4.3 — Distribution of respondents by highest completed nursing qualification</w:t>
      </w:r>
    </w:p>
    <w:tbl>
      <w:tblPr>
        <w:tblStyle w:val="Table"/>
        <w:tblW w:type="pct" w:w="5000"/>
        <w:jc w:val="left"/>
        <w:tblLayout w:type="fixed"/>
        <w:tblLook w:firstRow="1" w:lastRow="0" w:firstColumn="0" w:lastColumn="0" w:noHBand="0" w:noVBand="0" w:val="0020"/>
      </w:tblPr>
      <w:tblGrid>
        <w:gridCol w:w="5657"/>
        <w:gridCol w:w="1131"/>
        <w:gridCol w:w="1131"/>
      </w:tblGrid>
      <w:tr>
        <w:trPr>
          <w:tblHeader w:val="on"/>
        </w:trPr>
        <w:tc>
          <w:tcPr/>
          <w:p>
            <w:pPr>
              <w:pStyle w:val="Compact"/>
              <w:jc w:val="left"/>
            </w:pPr>
            <w:r>
              <w:t xml:space="preserve">Qualification</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Secondary vocational (maturita)</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Bachelor’s degree (Bc.)</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Master’s degree (Mgr.)</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Postgraduate specialisation or PhD.</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For the purposes of hypothesis testing (H2), the four-category education variable was dichotomised into secondary vocational education (n = [DATA PENDING], [DATA PENDING]%) and higher education — encompassing bachelor’s, master’s, and postgraduate credentials — (n = [DATA PENDING], [DATA PENDING]%).</w:t>
      </w:r>
    </w:p>
    <w:bookmarkEnd w:id="46"/>
    <w:bookmarkStart w:id="47" w:name="clinical-experience-profile"/>
    <w:p>
      <w:pPr>
        <w:pStyle w:val="Heading4"/>
        <w:jc w:val="left"/>
        <w:spacing w:line="360" w:lineRule="auto"/>
      </w:pPr>
      <w:r>
        <w:rPr>
          <w:rFonts w:ascii="Times New Roman" w:hAnsi="Times New Roman"/>
          <w:b/>
          <w:sz w:val="24"/>
        </w:rPr>
        <w:t xml:space="preserve">4.1.3 Clinical Experience Profile</w:t>
      </w:r>
    </w:p>
    <w:p>
      <w:pPr>
        <w:pStyle w:val="FirstParagraph"/>
        <w:jc w:val="both"/>
        <w:spacing w:line="360" w:lineRule="auto"/>
      </w:pPr>
      <w:r>
        <w:rPr>
          <w:rFonts w:ascii="Times New Roman" w:hAnsi="Times New Roman"/>
          <w:b/>
          <w:bCs/>
          <w:sz w:val="24"/>
        </w:rPr>
        <w:t xml:space="preserve">Table 4.4 — Distribution of respondents by years of clinical experience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Years of experience</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0–5 years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6–10 years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11–20 years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&gt; 20 years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The mean duration of clinical practice was [DATA PENDING: M = x.x years, SD = x.x]; the median was [DATA PENDING: x] years.</w:t>
      </w:r>
    </w:p>
    <w:bookmarkEnd w:id="47"/>
    <w:bookmarkStart w:id="48" w:name="workplace-characteristics"/>
    <w:p>
      <w:pPr>
        <w:pStyle w:val="Heading4"/>
        <w:jc w:val="left"/>
        <w:spacing w:line="360" w:lineRule="auto"/>
      </w:pPr>
      <w:r>
        <w:rPr>
          <w:rFonts w:ascii="Times New Roman" w:hAnsi="Times New Roman"/>
          <w:b/>
          <w:sz w:val="24"/>
        </w:rPr>
        <w:t xml:space="preserve">4.1.4 Workplace Characteristics</w:t>
      </w:r>
    </w:p>
    <w:p>
      <w:pPr>
        <w:pStyle w:val="FirstParagraph"/>
        <w:jc w:val="both"/>
        <w:spacing w:line="360" w:lineRule="auto"/>
      </w:pPr>
      <w:r>
        <w:rPr>
          <w:rFonts w:ascii="Times New Roman" w:hAnsi="Times New Roman"/>
          <w:b/>
          <w:bCs/>
          <w:sz w:val="24"/>
        </w:rPr>
        <w:t xml:space="preserve">Table 4.5 — Distribution of respondents by workplace type and clinical department</w:t>
      </w:r>
    </w:p>
    <w:tbl>
      <w:tblPr>
        <w:tblStyle w:val="Table"/>
        <w:tblW w:type="pct" w:w="5000"/>
        <w:jc w:val="left"/>
        <w:tblLayout w:type="fixed"/>
        <w:tblLook w:firstRow="1" w:lastRow="0" w:firstColumn="0" w:lastColumn="0" w:noHBand="0" w:noVBand="0" w:val="0020"/>
      </w:tblPr>
      <w:tblGrid>
        <w:gridCol w:w="5760"/>
        <w:gridCol w:w="1080"/>
        <w:gridCol w:w="1080"/>
      </w:tblGrid>
      <w:tr>
        <w:trPr>
          <w:tblHeader w:val="on"/>
        </w:trPr>
        <w:tc>
          <w:tcPr/>
          <w:p>
            <w:pPr>
              <w:pStyle w:val="Compact"/>
              <w:jc w:val="left"/>
            </w:pPr>
            <w:r>
              <w:t xml:space="preserve">Workplace type</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Inpatient (hospital / rehabilitation)</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Outpatient (ambulancia)</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The most frequently represented clinical departments were [DATA PENDING: list top 3–4 departments by frequency].</w:t>
      </w:r>
    </w:p>
    <w:p>
      <w:pPr>
        <w:jc w:val="both"/>
        <w:spacing w:line="360" w:lineRule="auto"/>
      </w:pPr>
      <w:r>
        <w:rPr>
          <w:rFonts w:ascii="Times New Roman" w:hAnsi="Times New Roman"/>
          <w:sz w:val="24"/>
        </w:rPr>
        <w:pict>
          <v:rect style="width:0;height:1.5pt" o:hralign="center" o:hrstd="t" o:hr="t"/>
        </w:pict>
      </w:r>
    </w:p>
    <w:bookmarkEnd w:id="48"/>
    <w:bookmarkEnd w:id="49"/>
    <w:bookmarkStart w:id="52" w:name="digital-tool-use-in-clinical-practice"/>
    <w:p>
      <w:pPr>
        <w:pStyle w:val="Heading3"/>
        <w:jc w:val="left"/>
        <w:spacing w:line="360" w:lineRule="auto"/>
      </w:pPr>
      <w:r>
        <w:rPr>
          <w:rFonts w:ascii="Times New Roman" w:hAnsi="Times New Roman"/>
          <w:b/>
          <w:sz w:val="24"/>
        </w:rPr>
        <w:t xml:space="preserve">4.2 Digital Tool Use in Clinical Practice</w:t>
      </w:r>
    </w:p>
    <w:bookmarkStart w:id="50" w:name="types-of-digital-tools-used"/>
    <w:p>
      <w:pPr>
        <w:pStyle w:val="Heading4"/>
        <w:jc w:val="left"/>
        <w:spacing w:line="360" w:lineRule="auto"/>
      </w:pPr>
      <w:r>
        <w:rPr>
          <w:rFonts w:ascii="Times New Roman" w:hAnsi="Times New Roman"/>
          <w:b/>
          <w:sz w:val="24"/>
        </w:rPr>
        <w:t xml:space="preserve">4.2.1 Types of Digital Tools Used</w:t>
      </w:r>
    </w:p>
    <w:p>
      <w:pPr>
        <w:pStyle w:val="FirstParagraph"/>
        <w:jc w:val="both"/>
        <w:spacing w:line="360" w:lineRule="auto"/>
      </w:pPr>
      <w:r>
        <w:rPr>
          <w:rFonts w:ascii="Times New Roman" w:hAnsi="Times New Roman"/>
          <w:sz w:val="24"/>
        </w:rPr>
        <w:t xml:space="preserve">Respondents were asked to indicate, from a provided checklist, which digital tools they used in their clinical practice. The following table presents the absolute and relative frequencies of reported tool use.</w:t>
      </w:r>
    </w:p>
    <w:p>
      <w:pPr>
        <w:pStyle w:val="BodyText"/>
        <w:jc w:val="both"/>
        <w:spacing w:line="360" w:lineRule="auto"/>
      </w:pPr>
      <w:r>
        <w:rPr>
          <w:rFonts w:ascii="Times New Roman" w:hAnsi="Times New Roman"/>
          <w:b/>
          <w:bCs/>
          <w:sz w:val="24"/>
        </w:rPr>
        <w:t xml:space="preserve">Table 4.6 — Frequency of digital tool use by tool type (multiple-response item)</w:t>
      </w:r>
    </w:p>
    <w:tbl>
      <w:tblPr>
        <w:tblStyle w:val="Table"/>
        <w:tblW w:type="pct" w:w="5000"/>
        <w:jc w:val="left"/>
        <w:tblLayout w:type="fixed"/>
        <w:tblLook w:firstRow="1" w:lastRow="0" w:firstColumn="0" w:lastColumn="0" w:noHBand="0" w:noVBand="0" w:val="0020"/>
      </w:tblPr>
      <w:tblGrid>
        <w:gridCol w:w="3858"/>
        <w:gridCol w:w="609"/>
        <w:gridCol w:w="3452"/>
      </w:tblGrid>
      <w:tr>
        <w:trPr>
          <w:tblHeader w:val="on"/>
        </w:trPr>
        <w:tc>
          <w:tcPr/>
          <w:p>
            <w:pPr>
              <w:pStyle w:val="Compact"/>
              <w:jc w:val="left"/>
            </w:pPr>
            <w:r>
              <w:t xml:space="preserve">Digital tool type</w:t>
            </w:r>
          </w:p>
        </w:tc>
        <w:tc>
          <w:tcPr/>
          <w:p>
            <w:pPr>
              <w:pStyle w:val="Compact"/>
              <w:jc w:val="left"/>
            </w:pPr>
            <w:r>
              <w:t xml:space="preserve">n</w:t>
            </w:r>
          </w:p>
        </w:tc>
        <w:tc>
          <w:tcPr/>
          <w:p>
            <w:pPr>
              <w:pStyle w:val="Compact"/>
              <w:jc w:val="left"/>
            </w:pPr>
            <w:r>
              <w:t xml:space="preserve">% of respondents</w:t>
            </w:r>
          </w:p>
        </w:tc>
      </w:tr>
      <w:tr>
        <w:tc>
          <w:tcPr/>
          <w:p>
            <w:pPr>
              <w:pStyle w:val="Compact"/>
              <w:jc w:val="left"/>
            </w:pPr>
            <w:r>
              <w:t xml:space="preserve">Electronic health record (EHR / eZdravie)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Electronic prescription system (ePrescription)</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Electronic nursing care plan</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Clinical decision support system (CDSS)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Digital monitoring devices (vital signs, alarms)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Telemedicine / teleconsultation platform</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Mobile health application (smartphone/tablet)</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Hospital information system (HIS)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Patient call / nursing communication system</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Other</w:t>
            </w:r>
          </w:p>
        </w:tc>
        <w:tc>
          <w:tcPr/>
          <w:p>
            <w:pPr>
              <w:pStyle w:val="Compact"/>
              <w:jc w:val="left"/>
            </w:pPr>
            <w:r>
              <w:t xml:space="preserve">[DATA PENDING]</w:t>
            </w:r>
          </w:p>
        </w:tc>
        <w:tc>
          <w:tcPr/>
          <w:p>
            <w:pPr>
              <w:pStyle w:val="Compact"/>
              <w:jc w:val="left"/>
            </w:pPr>
            <w:r>
              <w:t xml:space="preserve">[DATA PENDING]</w:t>
            </w:r>
          </w:p>
        </w:tc>
      </w:tr>
    </w:tbl>
    <w:p>
      <w:pPr>
        <w:pStyle w:val="BodyText"/>
        <w:jc w:val="both"/>
        <w:spacing w:line="360" w:lineRule="auto"/>
      </w:pPr>
      <w:r>
        <w:rPr>
          <w:rFonts w:ascii="Times New Roman" w:hAnsi="Times New Roman"/>
          <w:i/>
          <w:iCs/>
          <w:sz w:val="24"/>
        </w:rPr>
        <w:t xml:space="preserve">Note: Percentages sum to more than 100% because respondents could select multiple tools.</w:t>
      </w:r>
    </w:p>
    <w:p>
      <w:pPr>
        <w:pStyle w:val="BodyText"/>
        <w:jc w:val="both"/>
        <w:spacing w:line="360" w:lineRule="auto"/>
      </w:pPr>
      <w:r>
        <w:rPr>
          <w:rFonts w:ascii="Times New Roman" w:hAnsi="Times New Roman"/>
          <w:sz w:val="24"/>
        </w:rPr>
        <w:t xml:space="preserve">The most widely used digital tool among respondents was [DATA PENDING: tool name] (n = [DATA PENDING], [DATA PENDING]%), followed by [DATA PENDING: tool name] (n = [DATA PENDING], [DATA PENDING]%). The least commonly used tool was [DATA PENDING: tool name] (n = [DATA PENDING], [DATA PENDING]%).</w:t>
      </w:r>
    </w:p>
    <w:p>
      <w:pPr>
        <w:pStyle w:val="BodyText"/>
        <w:jc w:val="both"/>
        <w:spacing w:line="360" w:lineRule="auto"/>
      </w:pPr>
      <w:r>
        <w:rPr>
          <w:rFonts w:ascii="Times New Roman" w:hAnsi="Times New Roman"/>
          <w:b/>
          <w:bCs/>
          <w:sz w:val="24"/>
        </w:rPr>
        <w:t xml:space="preserve">Figure 4.1 — Bar chart: frequency of digital tool use by tool type</w:t>
      </w:r>
      <w:r>
        <w:rPr>
          <w:rFonts w:ascii="Times New Roman" w:hAnsi="Times New Roman"/>
          <w:sz w:val="24"/>
        </w:rPr>
        <w:t xml:space="preserve"> </w:t>
      </w:r>
      <w:r>
        <w:rPr>
          <w:rFonts w:ascii="Times New Roman" w:hAnsi="Times New Roman"/>
          <w:i/>
          <w:iCs/>
          <w:sz w:val="24"/>
        </w:rPr>
        <w:t xml:space="preserve">[INSERT FIGURE HERE — horizontal bar chart, tools sorted by descending frequency of reported use]</w:t>
      </w:r>
    </w:p>
    <w:bookmarkEnd w:id="50"/>
    <w:bookmarkStart w:id="51" w:name="overall-frequency-of-digital-tool-use"/>
    <w:p>
      <w:pPr>
        <w:pStyle w:val="Heading4"/>
        <w:jc w:val="left"/>
        <w:spacing w:line="360" w:lineRule="auto"/>
      </w:pPr>
      <w:r>
        <w:rPr>
          <w:rFonts w:ascii="Times New Roman" w:hAnsi="Times New Roman"/>
          <w:b/>
          <w:sz w:val="24"/>
        </w:rPr>
        <w:t xml:space="preserve">4.2.2 Overall Frequency of Digital Tool Use</w:t>
      </w:r>
    </w:p>
    <w:p>
      <w:pPr>
        <w:pStyle w:val="FirstParagraph"/>
        <w:jc w:val="both"/>
        <w:spacing w:line="360" w:lineRule="auto"/>
      </w:pPr>
      <w:r>
        <w:rPr>
          <w:rFonts w:ascii="Times New Roman" w:hAnsi="Times New Roman"/>
          <w:b/>
          <w:bCs/>
          <w:sz w:val="24"/>
        </w:rPr>
        <w:t xml:space="preserve">Table 4.7 — Self-reported overall frequency of digital tool use</w:t>
      </w:r>
    </w:p>
    <w:tbl>
      <w:tblPr>
        <w:tblStyle w:val="Table"/>
        <w:tblW w:type="pct" w:w="5000"/>
        <w:jc w:val="left"/>
        <w:tblLayout w:type="fixed"/>
        <w:tblLook w:firstRow="1" w:lastRow="0" w:firstColumn="0" w:lastColumn="0" w:noHBand="0" w:noVBand="0" w:val="0020"/>
      </w:tblPr>
      <w:tblGrid>
        <w:gridCol w:w="5940"/>
        <w:gridCol w:w="990"/>
        <w:gridCol w:w="990"/>
      </w:tblGrid>
      <w:tr>
        <w:trPr>
          <w:tblHeader w:val="on"/>
        </w:trPr>
        <w:tc>
          <w:tcPr/>
          <w:p>
            <w:pPr>
              <w:pStyle w:val="Compact"/>
              <w:jc w:val="left"/>
            </w:pPr>
            <w:r>
              <w:t xml:space="preserve">Frequency of use</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Never</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Rarely (once a week or less)</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Occasionally (several times a week)</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Often (daily)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Several times per day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The majority of respondents reported using digital tools [DATA PENDING: frequency category] (n = [DATA PENDING], [DATA PENDING]%). For the purposes of hypothesis testing (H1 and H2), the five-point frequency scale was collapsed into two categories: lower frequency (never / rarely / occasionally; n = [DATA PENDING], [DATA PENDING]%) and higher frequency (often / several times per day; n = [DATA PENDING], [DATA PENDING]%).</w:t>
      </w:r>
    </w:p>
    <w:p>
      <w:pPr>
        <w:pStyle w:val="BodyText"/>
        <w:jc w:val="both"/>
        <w:spacing w:line="360" w:lineRule="auto"/>
      </w:pPr>
      <w:r>
        <w:rPr>
          <w:rFonts w:ascii="Times New Roman" w:hAnsi="Times New Roman"/>
          <w:b/>
          <w:bCs/>
          <w:sz w:val="24"/>
        </w:rPr>
        <w:t xml:space="preserve">Figure 4.2 — Pie chart: distribution of respondents by overall frequency of digital tool use</w:t>
      </w:r>
      <w:r>
        <w:rPr>
          <w:rFonts w:ascii="Times New Roman" w:hAnsi="Times New Roman"/>
          <w:sz w:val="24"/>
        </w:rPr>
        <w:t xml:space="preserve"> </w:t>
      </w:r>
      <w:r>
        <w:rPr>
          <w:rFonts w:ascii="Times New Roman" w:hAnsi="Times New Roman"/>
          <w:i/>
          <w:iCs/>
          <w:sz w:val="24"/>
        </w:rPr>
        <w:t xml:space="preserve">[INSERT FIGURE HERE — five-segment pie chart with absolute and relative frequency labels]</w:t>
      </w:r>
    </w:p>
    <w:p>
      <w:pPr>
        <w:jc w:val="both"/>
        <w:spacing w:line="360" w:lineRule="auto"/>
      </w:pPr>
      <w:r>
        <w:rPr>
          <w:rFonts w:ascii="Times New Roman" w:hAnsi="Times New Roman"/>
          <w:sz w:val="24"/>
        </w:rPr>
        <w:pict>
          <v:rect style="width:0;height:1.5pt" o:hralign="center" o:hrstd="t" o:hr="t"/>
        </w:pict>
      </w:r>
    </w:p>
    <w:bookmarkEnd w:id="51"/>
    <w:bookmarkEnd w:id="52"/>
    <w:bookmarkStart w:id="53" w:name="self-rated-work-efficiency"/>
    <w:p>
      <w:pPr>
        <w:pStyle w:val="Heading3"/>
        <w:jc w:val="left"/>
        <w:spacing w:line="360" w:lineRule="auto"/>
      </w:pPr>
      <w:r>
        <w:rPr>
          <w:rFonts w:ascii="Times New Roman" w:hAnsi="Times New Roman"/>
          <w:b/>
          <w:sz w:val="24"/>
        </w:rPr>
        <w:t xml:space="preserve">4.3 Self-Rated Work Efficiency</w:t>
      </w:r>
    </w:p>
    <w:p>
      <w:pPr>
        <w:pStyle w:val="FirstParagraph"/>
        <w:jc w:val="both"/>
        <w:spacing w:line="360" w:lineRule="auto"/>
      </w:pPr>
      <w:r>
        <w:rPr>
          <w:rFonts w:ascii="Times New Roman" w:hAnsi="Times New Roman"/>
          <w:b/>
          <w:bCs/>
          <w:sz w:val="24"/>
        </w:rPr>
        <w:t xml:space="preserve">Table 4.8 — Nurses’ self-rated perception of how digital tools affect work efficiency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Perceived effect on efficiency</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Markedly decreases efficiency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Somewhat decreases efficiency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No change in efficiency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Somewhat increases efficiency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Markedly increases efficiency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[DATA PENDING: proportion]% of respondents (n = [DATA PENDING]) reported that digital tools somewhat or markedly increased their work efficiency. [DATA PENDING: proportion]% (n = [DATA PENDING]) reported no change, and [DATA PENDING: proportion]% (n = [DATA PENDING]) perceived a decrease in efficiency.</w:t>
      </w:r>
    </w:p>
    <w:p>
      <w:pPr>
        <w:pStyle w:val="BodyText"/>
        <w:jc w:val="both"/>
        <w:spacing w:line="360" w:lineRule="auto"/>
      </w:pPr>
      <w:r>
        <w:rPr>
          <w:rFonts w:ascii="Times New Roman" w:hAnsi="Times New Roman"/>
          <w:b/>
          <w:bCs/>
          <w:sz w:val="24"/>
        </w:rPr>
        <w:t xml:space="preserve">Figure 4.3 — Bar chart: distribution of responses on perceived work efficiency</w:t>
      </w:r>
      <w:r>
        <w:rPr>
          <w:rFonts w:ascii="Times New Roman" w:hAnsi="Times New Roman"/>
          <w:sz w:val="24"/>
        </w:rPr>
        <w:t xml:space="preserve"> </w:t>
      </w:r>
      <w:r>
        <w:rPr>
          <w:rFonts w:ascii="Times New Roman" w:hAnsi="Times New Roman"/>
          <w:i/>
          <w:iCs/>
          <w:sz w:val="24"/>
        </w:rPr>
        <w:t xml:space="preserve">[INSERT FIGURE HERE — stacked or grouped bar chart]</w:t>
      </w:r>
    </w:p>
    <w:p>
      <w:pPr>
        <w:jc w:val="both"/>
        <w:spacing w:line="360" w:lineRule="auto"/>
      </w:pPr>
      <w:r>
        <w:rPr>
          <w:rFonts w:ascii="Times New Roman" w:hAnsi="Times New Roman"/>
          <w:sz w:val="24"/>
        </w:rPr>
        <w:pict>
          <v:rect style="width:0;height:1.5pt" o:hralign="center" o:hrstd="t" o:hr="t"/>
        </w:pict>
      </w:r>
    </w:p>
    <w:bookmarkEnd w:id="53"/>
    <w:bookmarkStart w:id="54" w:name="X12fe208e516626f5ec4f0380a64888b47fcffdd"/>
    <w:p>
      <w:pPr>
        <w:pStyle w:val="Heading3"/>
        <w:jc w:val="left"/>
        <w:spacing w:line="360" w:lineRule="auto"/>
      </w:pPr>
      <w:r>
        <w:rPr>
          <w:rFonts w:ascii="Times New Roman" w:hAnsi="Times New Roman"/>
          <w:b/>
          <w:sz w:val="24"/>
        </w:rPr>
        <w:t xml:space="preserve">4.4 Nurses’ Attitudes Toward Digital Technologies</w:t>
      </w:r>
    </w:p>
    <w:p>
      <w:pPr>
        <w:pStyle w:val="FirstParagraph"/>
        <w:jc w:val="both"/>
        <w:spacing w:line="360" w:lineRule="auto"/>
      </w:pPr>
      <w:r>
        <w:rPr>
          <w:rFonts w:ascii="Times New Roman" w:hAnsi="Times New Roman"/>
          <w:b/>
          <w:bCs/>
          <w:sz w:val="24"/>
        </w:rPr>
        <w:t xml:space="preserve">Table 4.9 — Distribution of nurses’ overall attitudinal orientation toward digital technologies in nursing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Attitude category</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Strongly negative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Somewhat negative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Neutral</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Somewhat positive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Strongly positive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For Chi-square analysis (H3), the five-category attitude variable was collapsed into three categories: negative (strongly + somewhat negative; n = [DATA PENDING], [DATA PENDING]%), neutral (n = [DATA PENDING], [DATA PENDING]%), and positive (somewhat + strongly positive; n = [DATA PENDING], [DATA PENDING]%).</w:t>
      </w:r>
    </w:p>
    <w:p>
      <w:pPr>
        <w:pStyle w:val="BodyText"/>
        <w:jc w:val="both"/>
        <w:spacing w:line="360" w:lineRule="auto"/>
      </w:pPr>
      <w:r>
        <w:rPr>
          <w:rFonts w:ascii="Times New Roman" w:hAnsi="Times New Roman"/>
          <w:b/>
          <w:bCs/>
          <w:sz w:val="24"/>
        </w:rPr>
        <w:t xml:space="preserve">Figure 4.4 — Bar chart: distribution of nurses’ attitudinal orientation toward digital technologies</w:t>
      </w:r>
      <w:r>
        <w:rPr>
          <w:rFonts w:ascii="Times New Roman" w:hAnsi="Times New Roman"/>
          <w:sz w:val="24"/>
        </w:rPr>
        <w:t xml:space="preserve"> </w:t>
      </w:r>
      <w:r>
        <w:rPr>
          <w:rFonts w:ascii="Times New Roman" w:hAnsi="Times New Roman"/>
          <w:i/>
          <w:iCs/>
          <w:sz w:val="24"/>
        </w:rPr>
        <w:t xml:space="preserve">[INSERT FIGURE HERE]</w:t>
      </w:r>
    </w:p>
    <w:p>
      <w:pPr>
        <w:jc w:val="both"/>
        <w:spacing w:line="360" w:lineRule="auto"/>
      </w:pPr>
      <w:r>
        <w:rPr>
          <w:rFonts w:ascii="Times New Roman" w:hAnsi="Times New Roman"/>
          <w:sz w:val="24"/>
        </w:rPr>
        <w:pict>
          <v:rect style="width:0;height:1.5pt" o:hralign="center" o:hrstd="t" o:hr="t"/>
        </w:pict>
      </w:r>
    </w:p>
    <w:bookmarkEnd w:id="54"/>
    <w:bookmarkStart w:id="55" w:name="X32c66c91176e871ef8b6d199231931821f9a19f"/>
    <w:p>
      <w:pPr>
        <w:pStyle w:val="Heading3"/>
        <w:jc w:val="left"/>
        <w:spacing w:line="360" w:lineRule="auto"/>
      </w:pPr>
      <w:r>
        <w:rPr>
          <w:rFonts w:ascii="Times New Roman" w:hAnsi="Times New Roman"/>
          <w:b/>
          <w:sz w:val="24"/>
        </w:rPr>
        <w:t xml:space="preserve">4.5 Perceived Contribution of EHR to Patient Care Quality and Safety</w:t>
      </w:r>
    </w:p>
    <w:p>
      <w:pPr>
        <w:pStyle w:val="FirstParagraph"/>
        <w:jc w:val="both"/>
        <w:spacing w:line="360" w:lineRule="auto"/>
      </w:pPr>
      <w:r>
        <w:rPr>
          <w:rFonts w:ascii="Times New Roman" w:hAnsi="Times New Roman"/>
          <w:b/>
          <w:bCs/>
          <w:sz w:val="24"/>
        </w:rPr>
        <w:t xml:space="preserve">Table 4.10 — Nurses’ assessment of EHR contribution to quality and safety of patient care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EHR assessment</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Markedly worsens quality/safety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Somewhat worsens quality/safety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No change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Somewhat improves quality/safety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Markedly improves quality/safety</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Positive assessment (somewhat improves + markedly improves) was recorded for n = [DATA PENDING] respondents, representing [DATA PENDING: p̂ = x.xx] of the analytical sample.</w:t>
      </w:r>
    </w:p>
    <w:p>
      <w:pPr>
        <w:pStyle w:val="BodyText"/>
        <w:jc w:val="both"/>
        <w:spacing w:line="360" w:lineRule="auto"/>
      </w:pPr>
      <w:r>
        <w:rPr>
          <w:rFonts w:ascii="Times New Roman" w:hAnsi="Times New Roman"/>
          <w:b/>
          <w:bCs/>
          <w:sz w:val="24"/>
        </w:rPr>
        <w:t xml:space="preserve">Figure 4.5 — Bar chart: nurses’ EHR quality and safety assessment</w:t>
      </w:r>
      <w:r>
        <w:rPr>
          <w:rFonts w:ascii="Times New Roman" w:hAnsi="Times New Roman"/>
          <w:sz w:val="24"/>
        </w:rPr>
        <w:t xml:space="preserve"> </w:t>
      </w:r>
      <w:r>
        <w:rPr>
          <w:rFonts w:ascii="Times New Roman" w:hAnsi="Times New Roman"/>
          <w:i/>
          <w:iCs/>
          <w:sz w:val="24"/>
        </w:rPr>
        <w:t xml:space="preserve">[INSERT FIGURE HERE]</w:t>
      </w:r>
    </w:p>
    <w:p>
      <w:pPr>
        <w:jc w:val="both"/>
        <w:spacing w:line="360" w:lineRule="auto"/>
      </w:pPr>
      <w:r>
        <w:rPr>
          <w:rFonts w:ascii="Times New Roman" w:hAnsi="Times New Roman"/>
          <w:sz w:val="24"/>
        </w:rPr>
        <w:pict>
          <v:rect style="width:0;height:1.5pt" o:hralign="center" o:hrstd="t" o:hr="t"/>
        </w:pict>
      </w:r>
    </w:p>
    <w:bookmarkEnd w:id="55"/>
    <w:bookmarkStart w:id="60" w:name="hypothesis-testing"/>
    <w:p>
      <w:pPr>
        <w:pStyle w:val="Heading3"/>
        <w:jc w:val="left"/>
        <w:spacing w:line="360" w:lineRule="auto"/>
      </w:pPr>
      <w:r>
        <w:rPr>
          <w:rFonts w:ascii="Times New Roman" w:hAnsi="Times New Roman"/>
          <w:b/>
          <w:sz w:val="24"/>
        </w:rPr>
        <w:t xml:space="preserve">4.6 Hypothesis Testing</w:t>
      </w:r>
    </w:p>
    <w:bookmarkStart w:id="56" w:name="X0bd4503160ba2c5ac06d2c74355c560c303865a"/>
    <w:p>
      <w:pPr>
        <w:pStyle w:val="Heading4"/>
        <w:jc w:val="left"/>
        <w:spacing w:line="360" w:lineRule="auto"/>
      </w:pPr>
      <w:r>
        <w:rPr>
          <w:rFonts w:ascii="Times New Roman" w:hAnsi="Times New Roman"/>
          <w:b/>
          <w:sz w:val="24"/>
        </w:rPr>
        <w:t xml:space="preserve">4.6.1 H1 — Relationship Between Frequency of Digital Tool Use and Self-Rated Work Efficiency</w:t>
      </w:r>
    </w:p>
    <w:p>
      <w:pPr>
        <w:pStyle w:val="FirstParagraph"/>
        <w:jc w:val="both"/>
        <w:spacing w:line="360" w:lineRule="auto"/>
      </w:pPr>
      <w:r>
        <w:rPr>
          <w:rFonts w:ascii="Times New Roman" w:hAnsi="Times New Roman"/>
          <w:sz w:val="24"/>
        </w:rPr>
        <w:t xml:space="preserve">The null hypothesis stated that no statistically significant relationship exists between the frequency of digital tool use and nurses’ self-rated work efficiency. The alternative hypothesis stated that such a relationship is statistically significant.</w:t>
      </w:r>
    </w:p>
    <w:p>
      <w:pPr>
        <w:pStyle w:val="BodyText"/>
        <w:jc w:val="both"/>
        <w:spacing w:line="360" w:lineRule="auto"/>
      </w:pPr>
      <w:r>
        <w:rPr>
          <w:rFonts w:ascii="Times New Roman" w:hAnsi="Times New Roman"/>
          <w:b/>
          <w:bCs/>
          <w:sz w:val="24"/>
        </w:rPr>
        <w:t xml:space="preserve">Table 4.11 — Contingency table: frequency of digital tool use × self-rated work efficiency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Decreased efficiency</w:t>
            </w:r>
          </w:p>
        </w:tc>
        <w:tc>
          <w:tcPr/>
          <w:p>
            <w:pPr>
              <w:pStyle w:val="Compact"/>
              <w:jc w:val="left"/>
            </w:pPr>
            <w:r>
              <w:t xml:space="preserve">No change</w:t>
            </w:r>
          </w:p>
        </w:tc>
        <w:tc>
          <w:tcPr/>
          <w:p>
            <w:pPr>
              <w:pStyle w:val="Compact"/>
              <w:jc w:val="left"/>
            </w:pPr>
            <w:r>
              <w:t xml:space="preserve">Increased efficiency</w:t>
            </w:r>
          </w:p>
        </w:tc>
        <w:tc>
          <w:tcPr/>
          <w:p>
            <w:pPr>
              <w:pStyle w:val="Compact"/>
              <w:jc w:val="left"/>
            </w:pPr>
            <w:r>
              <w:t xml:space="preserve">Row total</w:t>
            </w:r>
          </w:p>
        </w:tc>
      </w:tr>
      <w:tr>
        <w:tc>
          <w:tcPr/>
          <w:p>
            <w:pPr>
              <w:pStyle w:val="Compact"/>
              <w:jc w:val="left"/>
            </w:pPr>
            <w:r>
              <w:t xml:space="preserve">Lower frequency of use</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Higher frequency of use</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Column total</w:t>
            </w:r>
          </w:p>
        </w:tc>
        <w:tc>
          <w:tcPr/>
          <w:p>
            <w:pPr>
              <w:pStyle w:val="Compact"/>
              <w:jc w:val="left"/>
            </w:pPr>
            <w:r>
              <w:rPr>
                <w:b/>
                <w:bCs/>
              </w:rPr>
              <w:t xml:space="preserve">[DATA PENDING]</w:t>
            </w:r>
          </w:p>
        </w:tc>
        <w:tc>
          <w:tcPr/>
          <w:p>
            <w:pPr>
              <w:pStyle w:val="Compact"/>
              <w:jc w:val="left"/>
            </w:pPr>
            <w:r>
              <w:rPr>
                <w:b/>
                <w:bCs/>
              </w:rPr>
              <w:t xml:space="preserve">[DATA PENDING]</w:t>
            </w:r>
          </w:p>
        </w:tc>
        <w:tc>
          <w:tcPr/>
          <w:p>
            <w:pPr>
              <w:pStyle w:val="Compact"/>
              <w:jc w:val="left"/>
            </w:pPr>
            <w:r>
              <w:rPr>
                <w:b/>
                <w:bCs/>
              </w:rPr>
              <w:t xml:space="preserve">[DATA PENDING]</w:t>
            </w:r>
          </w:p>
        </w:tc>
        <w:tc>
          <w:tcPr/>
          <w:p>
            <w:pPr>
              <w:pStyle w:val="Compact"/>
              <w:jc w:val="left"/>
            </w:pPr>
            <w:r>
              <w:rPr>
                <w:b/>
                <w:bCs/>
              </w:rPr>
              <w:t xml:space="preserve">[DATA PENDING]</w:t>
            </w:r>
          </w:p>
        </w:tc>
      </w:tr>
    </w:tbl>
    <w:p>
      <w:pPr>
        <w:pStyle w:val="BodyText"/>
        <w:jc w:val="both"/>
        <w:spacing w:line="360" w:lineRule="auto"/>
      </w:pPr>
      <w:r>
        <w:rPr>
          <w:rFonts w:ascii="Times New Roman" w:hAnsi="Times New Roman"/>
          <w:i/>
          <w:iCs/>
          <w:sz w:val="24"/>
        </w:rPr>
        <w:t xml:space="preserve">Note: Cell values represent observed frequencies (n). Expected frequencies were verified to exceed 5.0 in [DATA PENDING: all / x of y] cells. [If any expected frequencies fell below 5: adjacent categories were collapsed as follows: …]</w:t>
      </w:r>
    </w:p>
    <w:p>
      <w:pPr>
        <w:pStyle w:val="BodyText"/>
        <w:jc w:val="both"/>
        <w:spacing w:line="360" w:lineRule="auto"/>
      </w:pPr>
      <w:r>
        <w:rPr>
          <w:rFonts w:ascii="Times New Roman" w:hAnsi="Times New Roman"/>
          <w:b/>
          <w:bCs/>
          <w:sz w:val="24"/>
        </w:rPr>
        <w:t xml:space="preserve">Table 4.12 — Chi-square test result for H1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statistic</w:t>
            </w:r>
          </w:p>
        </w:tc>
        <w:tc>
          <w:tcPr/>
          <w:p>
            <w:pPr>
              <w:pStyle w:val="Compact"/>
              <w:jc w:val="left"/>
            </w:pPr>
            <w:r>
              <w:t xml:space="preserve">Value</w:t>
            </w:r>
          </w:p>
        </w:tc>
      </w:tr>
      <w:tr>
        <w:tc>
          <w:tcPr/>
          <w:p>
            <w:pPr>
              <w:pStyle w:val="Compact"/>
              <w:jc w:val="left"/>
            </w:pPr>
            <w:r>
              <w:t xml:space="preserve">Pearson χ²</w:t>
            </w:r>
          </w:p>
        </w:tc>
        <w:tc>
          <w:tcPr/>
          <w:p>
            <w:pPr>
              <w:pStyle w:val="Compact"/>
              <w:jc w:val="left"/>
            </w:pPr>
            <w:r>
              <w:t xml:space="preserve">[DATA PENDING]</w:t>
            </w:r>
          </w:p>
        </w:tc>
      </w:tr>
      <w:tr>
        <w:tc>
          <w:tcPr/>
          <w:p>
            <w:pPr>
              <w:pStyle w:val="Compact"/>
              <w:jc w:val="left"/>
            </w:pPr>
            <w:r>
              <w:t xml:space="preserve">Degrees of freedom (df)</w:t>
            </w:r>
          </w:p>
        </w:tc>
        <w:tc>
          <w:tcPr/>
          <w:p>
            <w:pPr>
              <w:pStyle w:val="Compact"/>
              <w:jc w:val="left"/>
            </w:pPr>
            <w:r>
              <w:t xml:space="preserve">[DATA PENDING]</w:t>
            </w:r>
          </w:p>
        </w:tc>
      </w:tr>
      <w:tr>
        <w:tc>
          <w:tcPr/>
          <w:p>
            <w:pPr>
              <w:pStyle w:val="Compact"/>
              <w:jc w:val="left"/>
            </w:pPr>
            <w:r>
              <w:t xml:space="preserve">Asymptotic significance (p)</w:t>
            </w:r>
          </w:p>
        </w:tc>
        <w:tc>
          <w:tcPr/>
          <w:p>
            <w:pPr>
              <w:pStyle w:val="Compact"/>
              <w:jc w:val="left"/>
            </w:pPr>
            <w:r>
              <w:t xml:space="preserve">[DATA PENDING]</w:t>
            </w:r>
          </w:p>
        </w:tc>
      </w:tr>
      <w:tr>
        <w:tc>
          <w:tcPr/>
          <w:p>
            <w:pPr>
              <w:pStyle w:val="Compact"/>
              <w:jc w:val="left"/>
            </w:pPr>
            <w:r>
              <w:t xml:space="preserve">Cramér’s V</w:t>
            </w:r>
          </w:p>
        </w:tc>
        <w:tc>
          <w:tcPr/>
          <w:p>
            <w:pPr>
              <w:pStyle w:val="Compact"/>
              <w:jc w:val="left"/>
            </w:pPr>
            <w:r>
              <w:t xml:space="preserve">[DATA PENDING]</w:t>
            </w:r>
          </w:p>
        </w:tc>
      </w:tr>
      <w:tr>
        <w:tc>
          <w:tcPr/>
          <w:p>
            <w:pPr>
              <w:pStyle w:val="Compact"/>
              <w:jc w:val="left"/>
            </w:pPr>
            <w:r>
              <w:t xml:space="preserve">Effect size interpretation</w:t>
            </w:r>
          </w:p>
        </w:tc>
        <w:tc>
          <w:tcPr/>
          <w:p>
            <w:pPr>
              <w:pStyle w:val="Compact"/>
              <w:jc w:val="left"/>
            </w:pPr>
            <w:r>
              <w:t xml:space="preserve">[DATA PENDING: small / medium / large]</w:t>
            </w:r>
          </w:p>
        </w:tc>
      </w:tr>
    </w:tbl>
    <w:p>
      <w:pPr>
        <w:pStyle w:val="BodyText"/>
        <w:jc w:val="both"/>
        <w:spacing w:line="360" w:lineRule="auto"/>
      </w:pPr>
      <w:r>
        <w:rPr>
          <w:rFonts w:ascii="Times New Roman" w:hAnsi="Times New Roman"/>
          <w:b/>
          <w:bCs/>
          <w:sz w:val="24"/>
        </w:rPr>
        <w:t xml:space="preserve">Figure 4.6 — Grouped bar chart: self-rated work efficiency by frequency of digital tool use category</w:t>
      </w:r>
      <w:r>
        <w:rPr>
          <w:rFonts w:ascii="Times New Roman" w:hAnsi="Times New Roman"/>
          <w:sz w:val="24"/>
        </w:rPr>
        <w:t xml:space="preserve"> </w:t>
      </w:r>
      <w:r>
        <w:rPr>
          <w:rFonts w:ascii="Times New Roman" w:hAnsi="Times New Roman"/>
          <w:i/>
          <w:iCs/>
          <w:sz w:val="24"/>
        </w:rPr>
        <w:t xml:space="preserve">[INSERT FIGURE HERE — two grouped bars (lower / higher frequency), three efficiency categories per group, with percentage labels]</w:t>
      </w:r>
    </w:p>
    <w:p>
      <w:pPr>
        <w:pStyle w:val="BodyText"/>
        <w:jc w:val="both"/>
        <w:spacing w:line="360" w:lineRule="auto"/>
      </w:pPr>
      <w:r>
        <w:rPr>
          <w:rFonts w:ascii="Times New Roman" w:hAnsi="Times New Roman"/>
          <w:sz w:val="24"/>
        </w:rPr>
        <w:t xml:space="preserve">[DATA PENDING: Decision sentence,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Chi-square test yielded χ²([df]) = [value], p = [value], Cramér’s V = [value]. / Therefore, the null hypothesis was [rejected / not rejected] at the α = 0.05 significance level.</w:t>
      </w:r>
      <w:r>
        <w:rPr>
          <w:rFonts w:ascii="Times New Roman" w:hAnsi="Times New Roman"/>
          <w:sz w:val="24"/>
        </w:rPr>
        <w:t xml:space="preserve">”</w:t>
      </w:r>
      <w:r>
        <w:rPr>
          <w:rFonts w:ascii="Times New Roman" w:hAnsi="Times New Roman"/>
          <w:sz w:val="24"/>
        </w:rPr>
        <w:t xml:space="preserve">]</w:t>
      </w:r>
    </w:p>
    <w:bookmarkEnd w:id="56"/>
    <w:bookmarkStart w:id="57" w:name="Xb9ebfcbb5ab272ac0ee4ea8201c126233a99319"/>
    <w:p>
      <w:pPr>
        <w:pStyle w:val="Heading4"/>
        <w:jc w:val="left"/>
        <w:spacing w:line="360" w:lineRule="auto"/>
      </w:pPr>
      <w:r>
        <w:rPr>
          <w:rFonts w:ascii="Times New Roman" w:hAnsi="Times New Roman"/>
          <w:b/>
          <w:sz w:val="24"/>
        </w:rPr>
        <w:t xml:space="preserve">4.6.2 H2 — Education Level and Frequency of Digital Tool Use</w:t>
      </w:r>
    </w:p>
    <w:p>
      <w:pPr>
        <w:pStyle w:val="FirstParagraph"/>
        <w:jc w:val="both"/>
        <w:spacing w:line="360" w:lineRule="auto"/>
      </w:pPr>
      <w:r>
        <w:rPr>
          <w:rFonts w:ascii="Times New Roman" w:hAnsi="Times New Roman"/>
          <w:sz w:val="24"/>
        </w:rPr>
        <w:t xml:space="preserve">The null hypothesis stated that no statistically significant difference exists between nurses with higher education and nurses with secondary vocational education in the frequency of digital tool use. The alternative hypothesis stated that nurses with higher education use digital technologies more frequently.</w:t>
      </w:r>
    </w:p>
    <w:p>
      <w:pPr>
        <w:pStyle w:val="BodyText"/>
        <w:jc w:val="both"/>
        <w:spacing w:line="360" w:lineRule="auto"/>
      </w:pPr>
      <w:r>
        <w:rPr>
          <w:rFonts w:ascii="Times New Roman" w:hAnsi="Times New Roman"/>
          <w:b/>
          <w:bCs/>
          <w:sz w:val="24"/>
        </w:rPr>
        <w:t xml:space="preserve">Table 4.13 — Contingency table: education level (dichotomised) × frequency of digital tool use (dichotomised)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Lower frequency of use</w:t>
            </w:r>
          </w:p>
        </w:tc>
        <w:tc>
          <w:tcPr/>
          <w:p>
            <w:pPr>
              <w:pStyle w:val="Compact"/>
              <w:jc w:val="left"/>
            </w:pPr>
            <w:r>
              <w:t xml:space="preserve">Higher frequency of use</w:t>
            </w:r>
          </w:p>
        </w:tc>
        <w:tc>
          <w:tcPr/>
          <w:p>
            <w:pPr>
              <w:pStyle w:val="Compact"/>
              <w:jc w:val="left"/>
            </w:pPr>
            <w:r>
              <w:t xml:space="preserve">Row total</w:t>
            </w:r>
          </w:p>
        </w:tc>
      </w:tr>
      <w:tr>
        <w:tc>
          <w:tcPr/>
          <w:p>
            <w:pPr>
              <w:pStyle w:val="Compact"/>
              <w:jc w:val="left"/>
            </w:pPr>
            <w:r>
              <w:t xml:space="preserve">Secondary vocational education</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Higher education (Bc. and above)</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Column total</w:t>
            </w:r>
          </w:p>
        </w:tc>
        <w:tc>
          <w:tcPr/>
          <w:p>
            <w:pPr>
              <w:pStyle w:val="Compact"/>
              <w:jc w:val="left"/>
            </w:pPr>
            <w:r>
              <w:rPr>
                <w:b/>
                <w:bCs/>
              </w:rPr>
              <w:t xml:space="preserve">[DATA PENDING]</w:t>
            </w:r>
          </w:p>
        </w:tc>
        <w:tc>
          <w:tcPr/>
          <w:p>
            <w:pPr>
              <w:pStyle w:val="Compact"/>
              <w:jc w:val="left"/>
            </w:pPr>
            <w:r>
              <w:rPr>
                <w:b/>
                <w:bCs/>
              </w:rPr>
              <w:t xml:space="preserve">[DATA PENDING]</w:t>
            </w:r>
          </w:p>
        </w:tc>
        <w:tc>
          <w:tcPr/>
          <w:p>
            <w:pPr>
              <w:pStyle w:val="Compact"/>
              <w:jc w:val="left"/>
            </w:pPr>
            <w:r>
              <w:rPr>
                <w:b/>
                <w:bCs/>
              </w:rPr>
              <w:t xml:space="preserve">[DATA PENDING]</w:t>
            </w:r>
          </w:p>
        </w:tc>
      </w:tr>
    </w:tbl>
    <w:p>
      <w:pPr>
        <w:pStyle w:val="BodyText"/>
        <w:jc w:val="both"/>
        <w:spacing w:line="360" w:lineRule="auto"/>
      </w:pPr>
      <w:r>
        <w:rPr>
          <w:rFonts w:ascii="Times New Roman" w:hAnsi="Times New Roman"/>
          <w:b/>
          <w:bCs/>
          <w:sz w:val="24"/>
        </w:rPr>
        <w:t xml:space="preserve">Table 4.14 — Chi-square test result for H2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statistic</w:t>
            </w:r>
          </w:p>
        </w:tc>
        <w:tc>
          <w:tcPr/>
          <w:p>
            <w:pPr>
              <w:pStyle w:val="Compact"/>
              <w:jc w:val="left"/>
            </w:pPr>
            <w:r>
              <w:t xml:space="preserve">Value</w:t>
            </w:r>
          </w:p>
        </w:tc>
      </w:tr>
      <w:tr>
        <w:tc>
          <w:tcPr/>
          <w:p>
            <w:pPr>
              <w:pStyle w:val="Compact"/>
              <w:jc w:val="left"/>
            </w:pPr>
            <w:r>
              <w:t xml:space="preserve">Pearson χ²</w:t>
            </w:r>
          </w:p>
        </w:tc>
        <w:tc>
          <w:tcPr/>
          <w:p>
            <w:pPr>
              <w:pStyle w:val="Compact"/>
              <w:jc w:val="left"/>
            </w:pPr>
            <w:r>
              <w:t xml:space="preserve">[DATA PENDING]</w:t>
            </w:r>
          </w:p>
        </w:tc>
      </w:tr>
      <w:tr>
        <w:tc>
          <w:tcPr/>
          <w:p>
            <w:pPr>
              <w:pStyle w:val="Compact"/>
              <w:jc w:val="left"/>
            </w:pPr>
            <w:r>
              <w:t xml:space="preserve">Degrees of freedom (df)</w:t>
            </w:r>
          </w:p>
        </w:tc>
        <w:tc>
          <w:tcPr/>
          <w:p>
            <w:pPr>
              <w:pStyle w:val="Compact"/>
              <w:jc w:val="left"/>
            </w:pPr>
            <w:r>
              <w:t xml:space="preserve">[DATA PENDING]</w:t>
            </w:r>
          </w:p>
        </w:tc>
      </w:tr>
      <w:tr>
        <w:tc>
          <w:tcPr/>
          <w:p>
            <w:pPr>
              <w:pStyle w:val="Compact"/>
              <w:jc w:val="left"/>
            </w:pPr>
            <w:r>
              <w:t xml:space="preserve">Asymptotic significance (p)</w:t>
            </w:r>
          </w:p>
        </w:tc>
        <w:tc>
          <w:tcPr/>
          <w:p>
            <w:pPr>
              <w:pStyle w:val="Compact"/>
              <w:jc w:val="left"/>
            </w:pPr>
            <w:r>
              <w:t xml:space="preserve">[DATA PENDING]</w:t>
            </w:r>
          </w:p>
        </w:tc>
      </w:tr>
      <w:tr>
        <w:tc>
          <w:tcPr/>
          <w:p>
            <w:pPr>
              <w:pStyle w:val="Compact"/>
              <w:jc w:val="left"/>
            </w:pPr>
            <w:r>
              <w:t xml:space="preserve">Cramér’s V</w:t>
            </w:r>
          </w:p>
        </w:tc>
        <w:tc>
          <w:tcPr/>
          <w:p>
            <w:pPr>
              <w:pStyle w:val="Compact"/>
              <w:jc w:val="left"/>
            </w:pPr>
            <w:r>
              <w:t xml:space="preserve">[DATA PENDING]</w:t>
            </w:r>
          </w:p>
        </w:tc>
      </w:tr>
      <w:tr>
        <w:tc>
          <w:tcPr/>
          <w:p>
            <w:pPr>
              <w:pStyle w:val="Compact"/>
              <w:jc w:val="left"/>
            </w:pPr>
            <w:r>
              <w:t xml:space="preserve">Effect size interpretation</w:t>
            </w:r>
          </w:p>
        </w:tc>
        <w:tc>
          <w:tcPr/>
          <w:p>
            <w:pPr>
              <w:pStyle w:val="Compact"/>
              <w:jc w:val="left"/>
            </w:pPr>
            <w:r>
              <w:t xml:space="preserve">[DATA PENDING: small / medium / large]</w:t>
            </w:r>
          </w:p>
        </w:tc>
      </w:tr>
    </w:tbl>
    <w:p>
      <w:pPr>
        <w:pStyle w:val="BodyText"/>
        <w:jc w:val="both"/>
        <w:spacing w:line="360" w:lineRule="auto"/>
      </w:pPr>
      <w:r>
        <w:rPr>
          <w:rFonts w:ascii="Times New Roman" w:hAnsi="Times New Roman"/>
          <w:b/>
          <w:bCs/>
          <w:sz w:val="24"/>
        </w:rPr>
        <w:t xml:space="preserve">Figure 4.7 — Grouped bar chart: frequency of digital tool use by education level</w:t>
      </w:r>
      <w:r>
        <w:rPr>
          <w:rFonts w:ascii="Times New Roman" w:hAnsi="Times New Roman"/>
          <w:sz w:val="24"/>
        </w:rPr>
        <w:t xml:space="preserve"> </w:t>
      </w:r>
      <w:r>
        <w:rPr>
          <w:rFonts w:ascii="Times New Roman" w:hAnsi="Times New Roman"/>
          <w:i/>
          <w:iCs/>
          <w:sz w:val="24"/>
        </w:rPr>
        <w:t xml:space="preserve">[INSERT FIGURE HERE — two bars per frequency category (secondary / higher education), with percentage labels]</w:t>
      </w:r>
    </w:p>
    <w:p>
      <w:pPr>
        <w:pStyle w:val="BodyText"/>
        <w:jc w:val="both"/>
        <w:spacing w:line="360" w:lineRule="auto"/>
      </w:pPr>
      <w:r>
        <w:rPr>
          <w:rFonts w:ascii="Times New Roman" w:hAnsi="Times New Roman"/>
          <w:sz w:val="24"/>
        </w:rPr>
        <w:t xml:space="preserve">[DATA PENDING: Decision sentence,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Chi-square test yielded χ²([df]) = [value], p = [value], Cramér’s V = [value]. / Therefore, the null hypothesis was [rejected / not rejected] at the α = 0.05 significance level.</w:t>
      </w:r>
      <w:r>
        <w:rPr>
          <w:rFonts w:ascii="Times New Roman" w:hAnsi="Times New Roman"/>
          <w:sz w:val="24"/>
        </w:rPr>
        <w:t xml:space="preserve">”</w:t>
      </w:r>
      <w:r>
        <w:rPr>
          <w:rFonts w:ascii="Times New Roman" w:hAnsi="Times New Roman"/>
          <w:sz w:val="24"/>
        </w:rPr>
        <w:t xml:space="preserve">]</w:t>
      </w:r>
    </w:p>
    <w:bookmarkEnd w:id="57"/>
    <w:bookmarkStart w:id="58" w:name="X066561236d5993bc7af59d40c3a60bd7eca23dc"/>
    <w:p>
      <w:pPr>
        <w:pStyle w:val="Heading4"/>
        <w:jc w:val="left"/>
        <w:spacing w:line="360" w:lineRule="auto"/>
      </w:pPr>
      <w:r>
        <w:rPr>
          <w:rFonts w:ascii="Times New Roman" w:hAnsi="Times New Roman"/>
          <w:b/>
          <w:sz w:val="24"/>
        </w:rPr>
        <w:t xml:space="preserve">4.6.3 H3 — Years of Clinical Experience and Attitude Toward Digital Technologies</w:t>
      </w:r>
    </w:p>
    <w:p>
      <w:pPr>
        <w:pStyle w:val="FirstParagraph"/>
        <w:jc w:val="both"/>
        <w:spacing w:line="360" w:lineRule="auto"/>
      </w:pPr>
      <w:r>
        <w:rPr>
          <w:rFonts w:ascii="Times New Roman" w:hAnsi="Times New Roman"/>
          <w:sz w:val="24"/>
        </w:rPr>
        <w:t xml:space="preserve">The null hypothesis stated that no statistically significant relationship exists between years of clinical experience and nurses’ attitudinal orientation toward digital technologies. The alternative hypothesis stated that such a relationship is statistically significant.</w:t>
      </w:r>
    </w:p>
    <w:p>
      <w:pPr>
        <w:pStyle w:val="BodyText"/>
        <w:jc w:val="both"/>
        <w:spacing w:line="360" w:lineRule="auto"/>
      </w:pPr>
      <w:r>
        <w:rPr>
          <w:rFonts w:ascii="Times New Roman" w:hAnsi="Times New Roman"/>
          <w:b/>
          <w:bCs/>
          <w:sz w:val="24"/>
        </w:rPr>
        <w:t xml:space="preserve">Table 4.15 — Contingency table: years of clinical experience (4 bands) × attitude toward digital technologies (3 categories)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Negative attitude</w:t>
            </w:r>
          </w:p>
        </w:tc>
        <w:tc>
          <w:tcPr/>
          <w:p>
            <w:pPr>
              <w:pStyle w:val="Compact"/>
              <w:jc w:val="left"/>
            </w:pPr>
            <w:r>
              <w:t xml:space="preserve">Neutral</w:t>
            </w:r>
          </w:p>
        </w:tc>
        <w:tc>
          <w:tcPr/>
          <w:p>
            <w:pPr>
              <w:pStyle w:val="Compact"/>
              <w:jc w:val="left"/>
            </w:pPr>
            <w:r>
              <w:t xml:space="preserve">Positive attitude</w:t>
            </w:r>
          </w:p>
        </w:tc>
        <w:tc>
          <w:tcPr/>
          <w:p>
            <w:pPr>
              <w:pStyle w:val="Compact"/>
              <w:jc w:val="left"/>
            </w:pPr>
            <w:r>
              <w:t xml:space="preserve">Row total</w:t>
            </w:r>
          </w:p>
        </w:tc>
      </w:tr>
      <w:tr>
        <w:tc>
          <w:tcPr/>
          <w:p>
            <w:pPr>
              <w:pStyle w:val="Compact"/>
              <w:jc w:val="left"/>
            </w:pPr>
            <w:r>
              <w:t xml:space="preserve">0–5 years</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6–10 years</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11–20 years</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&gt; 20 years</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Column total</w:t>
            </w:r>
          </w:p>
        </w:tc>
        <w:tc>
          <w:tcPr/>
          <w:p>
            <w:pPr>
              <w:pStyle w:val="Compact"/>
              <w:jc w:val="left"/>
            </w:pPr>
            <w:r>
              <w:rPr>
                <w:b/>
                <w:bCs/>
              </w:rPr>
              <w:t xml:space="preserve">[DATA PENDING]</w:t>
            </w:r>
          </w:p>
        </w:tc>
        <w:tc>
          <w:tcPr/>
          <w:p>
            <w:pPr>
              <w:pStyle w:val="Compact"/>
              <w:jc w:val="left"/>
            </w:pPr>
            <w:r>
              <w:rPr>
                <w:b/>
                <w:bCs/>
              </w:rPr>
              <w:t xml:space="preserve">[DATA PENDING]</w:t>
            </w:r>
          </w:p>
        </w:tc>
        <w:tc>
          <w:tcPr/>
          <w:p>
            <w:pPr>
              <w:pStyle w:val="Compact"/>
              <w:jc w:val="left"/>
            </w:pPr>
            <w:r>
              <w:rPr>
                <w:b/>
                <w:bCs/>
              </w:rPr>
              <w:t xml:space="preserve">[DATA PENDING]</w:t>
            </w:r>
          </w:p>
        </w:tc>
        <w:tc>
          <w:tcPr/>
          <w:p>
            <w:pPr>
              <w:pStyle w:val="Compact"/>
              <w:jc w:val="left"/>
            </w:pPr>
            <w:r>
              <w:rPr>
                <w:b/>
                <w:bCs/>
              </w:rPr>
              <w:t xml:space="preserve">[DATA PENDING]</w:t>
            </w:r>
          </w:p>
        </w:tc>
      </w:tr>
    </w:tbl>
    <w:p>
      <w:pPr>
        <w:pStyle w:val="BodyText"/>
        <w:jc w:val="both"/>
        <w:spacing w:line="360" w:lineRule="auto"/>
      </w:pPr>
      <w:r>
        <w:rPr>
          <w:rFonts w:ascii="Times New Roman" w:hAnsi="Times New Roman"/>
          <w:i/>
          <w:iCs/>
          <w:sz w:val="24"/>
        </w:rPr>
        <w:t xml:space="preserve">Note: Where expected cell frequencies fell below 5.0, adjacent experience bands were collapsed [DATA PENDING: describe any collapsing applied]. The final contingency table used for testing is [DATA PENDING: x × y].</w:t>
      </w:r>
    </w:p>
    <w:p>
      <w:pPr>
        <w:pStyle w:val="BodyText"/>
        <w:jc w:val="both"/>
        <w:spacing w:line="360" w:lineRule="auto"/>
      </w:pPr>
      <w:r>
        <w:rPr>
          <w:rFonts w:ascii="Times New Roman" w:hAnsi="Times New Roman"/>
          <w:b/>
          <w:bCs/>
          <w:sz w:val="24"/>
        </w:rPr>
        <w:t xml:space="preserve">Table 4.16 — Chi-square test result for H3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statistic</w:t>
            </w:r>
          </w:p>
        </w:tc>
        <w:tc>
          <w:tcPr/>
          <w:p>
            <w:pPr>
              <w:pStyle w:val="Compact"/>
              <w:jc w:val="left"/>
            </w:pPr>
            <w:r>
              <w:t xml:space="preserve">Value</w:t>
            </w:r>
          </w:p>
        </w:tc>
      </w:tr>
      <w:tr>
        <w:tc>
          <w:tcPr/>
          <w:p>
            <w:pPr>
              <w:pStyle w:val="Compact"/>
              <w:jc w:val="left"/>
            </w:pPr>
            <w:r>
              <w:t xml:space="preserve">Pearson χ²</w:t>
            </w:r>
          </w:p>
        </w:tc>
        <w:tc>
          <w:tcPr/>
          <w:p>
            <w:pPr>
              <w:pStyle w:val="Compact"/>
              <w:jc w:val="left"/>
            </w:pPr>
            <w:r>
              <w:t xml:space="preserve">[DATA PENDING]</w:t>
            </w:r>
          </w:p>
        </w:tc>
      </w:tr>
      <w:tr>
        <w:tc>
          <w:tcPr/>
          <w:p>
            <w:pPr>
              <w:pStyle w:val="Compact"/>
              <w:jc w:val="left"/>
            </w:pPr>
            <w:r>
              <w:t xml:space="preserve">Degrees of freedom (df)</w:t>
            </w:r>
          </w:p>
        </w:tc>
        <w:tc>
          <w:tcPr/>
          <w:p>
            <w:pPr>
              <w:pStyle w:val="Compact"/>
              <w:jc w:val="left"/>
            </w:pPr>
            <w:r>
              <w:t xml:space="preserve">[DATA PENDING]</w:t>
            </w:r>
          </w:p>
        </w:tc>
      </w:tr>
      <w:tr>
        <w:tc>
          <w:tcPr/>
          <w:p>
            <w:pPr>
              <w:pStyle w:val="Compact"/>
              <w:jc w:val="left"/>
            </w:pPr>
            <w:r>
              <w:t xml:space="preserve">Asymptotic significance (p)</w:t>
            </w:r>
          </w:p>
        </w:tc>
        <w:tc>
          <w:tcPr/>
          <w:p>
            <w:pPr>
              <w:pStyle w:val="Compact"/>
              <w:jc w:val="left"/>
            </w:pPr>
            <w:r>
              <w:t xml:space="preserve">[DATA PENDING]</w:t>
            </w:r>
          </w:p>
        </w:tc>
      </w:tr>
      <w:tr>
        <w:tc>
          <w:tcPr/>
          <w:p>
            <w:pPr>
              <w:pStyle w:val="Compact"/>
              <w:jc w:val="left"/>
            </w:pPr>
            <w:r>
              <w:t xml:space="preserve">Cramér’s V</w:t>
            </w:r>
          </w:p>
        </w:tc>
        <w:tc>
          <w:tcPr/>
          <w:p>
            <w:pPr>
              <w:pStyle w:val="Compact"/>
              <w:jc w:val="left"/>
            </w:pPr>
            <w:r>
              <w:t xml:space="preserve">[DATA PENDING]</w:t>
            </w:r>
          </w:p>
        </w:tc>
      </w:tr>
      <w:tr>
        <w:tc>
          <w:tcPr/>
          <w:p>
            <w:pPr>
              <w:pStyle w:val="Compact"/>
              <w:jc w:val="left"/>
            </w:pPr>
            <w:r>
              <w:t xml:space="preserve">Effect size interpretation</w:t>
            </w:r>
          </w:p>
        </w:tc>
        <w:tc>
          <w:tcPr/>
          <w:p>
            <w:pPr>
              <w:pStyle w:val="Compact"/>
              <w:jc w:val="left"/>
            </w:pPr>
            <w:r>
              <w:t xml:space="preserve">[DATA PENDING: small / medium / large]</w:t>
            </w:r>
          </w:p>
        </w:tc>
      </w:tr>
    </w:tbl>
    <w:p>
      <w:pPr>
        <w:pStyle w:val="BodyText"/>
        <w:jc w:val="both"/>
        <w:spacing w:line="360" w:lineRule="auto"/>
      </w:pPr>
      <w:r>
        <w:rPr>
          <w:rFonts w:ascii="Times New Roman" w:hAnsi="Times New Roman"/>
          <w:b/>
          <w:bCs/>
          <w:sz w:val="24"/>
        </w:rPr>
        <w:t xml:space="preserve">Figure 4.8 — Stacked bar chart: attitudinal orientation toward digital technologies by years of clinical experience</w:t>
      </w:r>
      <w:r>
        <w:rPr>
          <w:rFonts w:ascii="Times New Roman" w:hAnsi="Times New Roman"/>
          <w:sz w:val="24"/>
        </w:rPr>
        <w:t xml:space="preserve"> </w:t>
      </w:r>
      <w:r>
        <w:rPr>
          <w:rFonts w:ascii="Times New Roman" w:hAnsi="Times New Roman"/>
          <w:i/>
          <w:iCs/>
          <w:sz w:val="24"/>
        </w:rPr>
        <w:t xml:space="preserve">[INSERT FIGURE HERE — one stacked bar per experience band; segments = negative / neutral / positive attitude; percentage labels on each segment]</w:t>
      </w:r>
    </w:p>
    <w:p>
      <w:pPr>
        <w:pStyle w:val="BodyText"/>
        <w:jc w:val="both"/>
        <w:spacing w:line="360" w:lineRule="auto"/>
      </w:pPr>
      <w:r>
        <w:rPr>
          <w:rFonts w:ascii="Times New Roman" w:hAnsi="Times New Roman"/>
          <w:sz w:val="24"/>
        </w:rPr>
        <w:t xml:space="preserve">[DATA PENDING: Decision sentence,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Chi-square test yielded χ²([df]) = [value], p = [value], Cramér’s V = [value]. / Therefore, the null hypothesis was [rejected / not rejected] at the α = 0.05 significance level.</w:t>
      </w:r>
      <w:r>
        <w:rPr>
          <w:rFonts w:ascii="Times New Roman" w:hAnsi="Times New Roman"/>
          <w:sz w:val="24"/>
        </w:rPr>
        <w:t xml:space="preserve">”</w:t>
      </w:r>
      <w:r>
        <w:rPr>
          <w:rFonts w:ascii="Times New Roman" w:hAnsi="Times New Roman"/>
          <w:sz w:val="24"/>
        </w:rPr>
        <w:t xml:space="preserve">]</w:t>
      </w:r>
    </w:p>
    <w:bookmarkEnd w:id="58"/>
    <w:bookmarkStart w:id="59" w:name="X44121810b4005454cfc5aa39642d3f44f7e3fa3"/>
    <w:p>
      <w:pPr>
        <w:pStyle w:val="Heading4"/>
        <w:jc w:val="left"/>
        <w:spacing w:line="360" w:lineRule="auto"/>
      </w:pPr>
      <w:r>
        <w:rPr>
          <w:rFonts w:ascii="Times New Roman" w:hAnsi="Times New Roman"/>
          <w:b/>
          <w:sz w:val="24"/>
        </w:rPr>
        <w:t xml:space="preserve">4.6.4 H4 — Proportion of Nurses Rating EHR as Beneficial to Quality and Safety</w:t>
      </w:r>
    </w:p>
    <w:p>
      <w:pPr>
        <w:pStyle w:val="FirstParagraph"/>
        <w:jc w:val="both"/>
        <w:spacing w:line="360" w:lineRule="auto"/>
      </w:pPr>
      <w:r>
        <w:rPr>
          <w:rFonts w:ascii="Times New Roman" w:hAnsi="Times New Roman"/>
          <w:sz w:val="24"/>
        </w:rPr>
        <w:t xml:space="preserve">The null hypothesis stated that 50% or fewer nurses rate EHR systems as contributing to improved quality and safety of patient care. The alternative hypothesis stated that this proportion exceeds 50%.</w:t>
      </w:r>
    </w:p>
    <w:p>
      <w:pPr>
        <w:pStyle w:val="BodyText"/>
        <w:jc w:val="both"/>
        <w:spacing w:line="360" w:lineRule="auto"/>
      </w:pPr>
      <w:r>
        <w:rPr>
          <w:rFonts w:ascii="Times New Roman" w:hAnsi="Times New Roman"/>
          <w:sz w:val="24"/>
        </w:rPr>
        <w:t xml:space="preserve">The observed proportion of positive EHR assessments (somewhat improves or markedly improves) was p̂ = [DATA PENDING] (n = [DATA PENDING] of [DATA PENDING] total respondents). The one-sample z-test for proportions against the hypothesised threshold of p₀ = 0.50 yielded z = [DATA PENDING], p = [DATA PENDING] (one-tailed). Therefore, the null hypothesis was [DATA PENDING: rejected / not rejected] at the α = 0.05 significance level.</w:t>
      </w:r>
    </w:p>
    <w:p>
      <w:pPr>
        <w:pStyle w:val="BodyText"/>
        <w:jc w:val="both"/>
        <w:spacing w:line="360" w:lineRule="auto"/>
      </w:pPr>
      <w:r>
        <w:rPr>
          <w:rFonts w:ascii="Times New Roman" w:hAnsi="Times New Roman"/>
          <w:b/>
          <w:bCs/>
          <w:sz w:val="24"/>
        </w:rPr>
        <w:t xml:space="preserve">Table 4.17 — One-sample z-test result for H4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Observed proportion (p̂)</w:t>
            </w:r>
          </w:p>
        </w:tc>
        <w:tc>
          <w:tcPr/>
          <w:p>
            <w:pPr>
              <w:pStyle w:val="Compact"/>
              <w:jc w:val="left"/>
            </w:pPr>
            <w:r>
              <w:t xml:space="preserve">[DATA PENDING]</w:t>
            </w:r>
          </w:p>
        </w:tc>
      </w:tr>
      <w:tr>
        <w:tc>
          <w:tcPr/>
          <w:p>
            <w:pPr>
              <w:pStyle w:val="Compact"/>
              <w:jc w:val="left"/>
            </w:pPr>
            <w:r>
              <w:t xml:space="preserve">Hypothesised proportion (p₀)</w:t>
            </w:r>
          </w:p>
        </w:tc>
        <w:tc>
          <w:tcPr/>
          <w:p>
            <w:pPr>
              <w:pStyle w:val="Compact"/>
              <w:jc w:val="left"/>
            </w:pPr>
            <w:r>
              <w:t xml:space="preserve">0.50</w:t>
            </w:r>
          </w:p>
        </w:tc>
      </w:tr>
      <w:tr>
        <w:tc>
          <w:tcPr/>
          <w:p>
            <w:pPr>
              <w:pStyle w:val="Compact"/>
              <w:jc w:val="left"/>
            </w:pPr>
            <w:r>
              <w:t xml:space="preserve">Sample size (n)</w:t>
            </w:r>
          </w:p>
        </w:tc>
        <w:tc>
          <w:tcPr/>
          <w:p>
            <w:pPr>
              <w:pStyle w:val="Compact"/>
              <w:jc w:val="left"/>
            </w:pPr>
            <w:r>
              <w:t xml:space="preserve">[DATA PENDING]</w:t>
            </w:r>
          </w:p>
        </w:tc>
      </w:tr>
      <w:tr>
        <w:tc>
          <w:tcPr/>
          <w:p>
            <w:pPr>
              <w:pStyle w:val="Compact"/>
              <w:jc w:val="left"/>
            </w:pPr>
            <w:r>
              <w:t xml:space="preserve">z-statistic</w:t>
            </w:r>
          </w:p>
        </w:tc>
        <w:tc>
          <w:tcPr/>
          <w:p>
            <w:pPr>
              <w:pStyle w:val="Compact"/>
              <w:jc w:val="left"/>
            </w:pPr>
            <w:r>
              <w:t xml:space="preserve">[DATA PENDING]</w:t>
            </w:r>
          </w:p>
        </w:tc>
      </w:tr>
      <w:tr>
        <w:tc>
          <w:tcPr/>
          <w:p>
            <w:pPr>
              <w:pStyle w:val="Compact"/>
              <w:jc w:val="left"/>
            </w:pPr>
            <w:r>
              <w:t xml:space="preserve">p-value (one-tailed)</w:t>
            </w:r>
          </w:p>
        </w:tc>
        <w:tc>
          <w:tcPr/>
          <w:p>
            <w:pPr>
              <w:pStyle w:val="Compact"/>
              <w:jc w:val="left"/>
            </w:pPr>
            <w:r>
              <w:t xml:space="preserve">[DATA PENDING]</w:t>
            </w:r>
          </w:p>
        </w:tc>
      </w:tr>
      <w:tr>
        <w:tc>
          <w:tcPr/>
          <w:p>
            <w:pPr>
              <w:pStyle w:val="Compact"/>
              <w:jc w:val="left"/>
            </w:pPr>
            <w:r>
              <w:t xml:space="preserve">95% confidence interval for p̂</w:t>
            </w:r>
          </w:p>
        </w:tc>
        <w:tc>
          <w:tcPr/>
          <w:p>
            <w:pPr>
              <w:pStyle w:val="Compact"/>
              <w:jc w:val="left"/>
            </w:pPr>
            <w:r>
              <w:t xml:space="preserve">[DATA PENDING, DATA PENDING]</w:t>
            </w:r>
          </w:p>
        </w:tc>
      </w:tr>
      <w:tr>
        <w:tc>
          <w:tcPr/>
          <w:p>
            <w:pPr>
              <w:pStyle w:val="Compact"/>
              <w:jc w:val="left"/>
            </w:pPr>
            <w:r>
              <w:t xml:space="preserve">Decision</w:t>
            </w:r>
          </w:p>
        </w:tc>
        <w:tc>
          <w:tcPr/>
          <w:p>
            <w:pPr>
              <w:pStyle w:val="Compact"/>
              <w:jc w:val="left"/>
            </w:pPr>
            <w:r>
              <w:t xml:space="preserve">[DATA PENDING: H₀ rejected / H₀ not rejected]</w:t>
            </w:r>
          </w:p>
        </w:tc>
      </w:tr>
    </w:tbl>
    <w:p>
      <w:pPr>
        <w:pStyle w:val="BodyText"/>
        <w:jc w:val="both"/>
        <w:spacing w:line="360" w:lineRule="auto"/>
      </w:pPr>
      <w:r>
        <w:rPr>
          <w:rFonts w:ascii="Times New Roman" w:hAnsi="Times New Roman"/>
          <w:b/>
          <w:bCs/>
          <w:sz w:val="24"/>
        </w:rPr>
        <w:t xml:space="preserve">Figure 4.9 — Pie chart: nurses’ assessment of EHR contribution to patient care quality and safety</w:t>
      </w:r>
      <w:r>
        <w:rPr>
          <w:rFonts w:ascii="Times New Roman" w:hAnsi="Times New Roman"/>
          <w:sz w:val="24"/>
        </w:rPr>
        <w:t xml:space="preserve"> </w:t>
      </w:r>
      <w:r>
        <w:rPr>
          <w:rFonts w:ascii="Times New Roman" w:hAnsi="Times New Roman"/>
          <w:i/>
          <w:iCs/>
          <w:sz w:val="24"/>
        </w:rPr>
        <w:t xml:space="preserve">[INSERT FIGURE HERE — five-segment pie chart with segment labels and percentage values]</w:t>
      </w:r>
    </w:p>
    <w:p>
      <w:pPr>
        <w:jc w:val="both"/>
        <w:spacing w:line="360" w:lineRule="auto"/>
      </w:pPr>
      <w:r>
        <w:rPr>
          <w:rFonts w:ascii="Times New Roman" w:hAnsi="Times New Roman"/>
          <w:sz w:val="24"/>
        </w:rPr>
        <w:pict>
          <v:rect style="width:0;height:1.5pt" o:hralign="center" o:hrstd="t" o:hr="t"/>
        </w:pict>
      </w:r>
    </w:p>
    <w:bookmarkEnd w:id="59"/>
    <w:bookmarkEnd w:id="60"/>
    <w:bookmarkStart w:id="64" w:name="additional-descriptive-findings"/>
    <w:p>
      <w:pPr>
        <w:pStyle w:val="Heading3"/>
        <w:jc w:val="left"/>
        <w:spacing w:line="360" w:lineRule="auto"/>
      </w:pPr>
      <w:r>
        <w:rPr>
          <w:rFonts w:ascii="Times New Roman" w:hAnsi="Times New Roman"/>
          <w:b/>
          <w:sz w:val="24"/>
        </w:rPr>
        <w:t xml:space="preserve">4.7 Additional Descriptive Findings</w:t>
      </w:r>
    </w:p>
    <w:bookmarkStart w:id="61" w:name="adequacy-of-digital-infrastructure"/>
    <w:p>
      <w:pPr>
        <w:pStyle w:val="Heading4"/>
        <w:jc w:val="left"/>
        <w:spacing w:line="360" w:lineRule="auto"/>
      </w:pPr>
      <w:r>
        <w:rPr>
          <w:rFonts w:ascii="Times New Roman" w:hAnsi="Times New Roman"/>
          <w:b/>
          <w:sz w:val="24"/>
        </w:rPr>
        <w:t xml:space="preserve">4.7.1 Adequacy of Digital Infrastructure</w:t>
      </w:r>
    </w:p>
    <w:p>
      <w:pPr>
        <w:pStyle w:val="FirstParagraph"/>
        <w:jc w:val="both"/>
        <w:spacing w:line="360" w:lineRule="auto"/>
      </w:pPr>
      <w:r>
        <w:rPr>
          <w:rFonts w:ascii="Times New Roman" w:hAnsi="Times New Roman"/>
          <w:b/>
          <w:bCs/>
          <w:sz w:val="24"/>
        </w:rPr>
        <w:t xml:space="preserve">Table 4.18 — Nurses’ assessment of the adequacy of available digital infrastructure in their workplace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Infrastructure adequacy assessment</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Completely inadequate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Mostly inadequate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Partially adequate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Mostly adequate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Fully adequate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bookmarkEnd w:id="61"/>
    <w:bookmarkStart w:id="62" w:name="Xca003c6c6bd38e83b7115d55a6406e397f2ed6c"/>
    <w:p>
      <w:pPr>
        <w:pStyle w:val="Heading4"/>
        <w:jc w:val="left"/>
        <w:spacing w:line="360" w:lineRule="auto"/>
      </w:pPr>
      <w:r>
        <w:rPr>
          <w:rFonts w:ascii="Times New Roman" w:hAnsi="Times New Roman"/>
          <w:b/>
          <w:sz w:val="24"/>
        </w:rPr>
        <w:t xml:space="preserve">4.7.2 Perceived Need for Further Digital Skills Training</w:t>
      </w:r>
    </w:p>
    <w:p>
      <w:pPr>
        <w:pStyle w:val="FirstParagraph"/>
        <w:jc w:val="both"/>
        <w:spacing w:line="360" w:lineRule="auto"/>
      </w:pPr>
      <w:r>
        <w:rPr>
          <w:rFonts w:ascii="Times New Roman" w:hAnsi="Times New Roman"/>
          <w:b/>
          <w:bCs/>
          <w:sz w:val="24"/>
        </w:rPr>
        <w:t xml:space="preserve">Table 4.19 — Nurses’ self-reported need for further training in digital tools</w:t>
      </w:r>
    </w:p>
    <w:tbl>
      <w:tblPr>
        <w:tblStyle w:val="Table"/>
        <w:tblW w:type="pct" w:w="5000"/>
        <w:jc w:val="left"/>
        <w:tblLayout w:type="fixed"/>
        <w:tblLook w:firstRow="1" w:lastRow="0" w:firstColumn="0" w:lastColumn="0" w:noHBand="0" w:noVBand="0" w:val="0020"/>
      </w:tblPr>
      <w:tblGrid>
        <w:gridCol w:w="6336"/>
        <w:gridCol w:w="792"/>
        <w:gridCol w:w="792"/>
      </w:tblGrid>
      <w:tr>
        <w:trPr>
          <w:tblHeader w:val="on"/>
        </w:trPr>
        <w:tc>
          <w:tcPr/>
          <w:p>
            <w:pPr>
              <w:pStyle w:val="Compact"/>
              <w:jc w:val="left"/>
            </w:pPr>
            <w:r>
              <w:t xml:space="preserve">Perceived training need</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No need — current skills are sufficient</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Some need — occasional gaps in competence</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Moderate need — regular training would be beneficial</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t xml:space="preserve">High need — significant competence gaps exist</w:t>
            </w:r>
          </w:p>
        </w:tc>
        <w:tc>
          <w:tcPr/>
          <w:p>
            <w:pPr>
              <w:pStyle w:val="Compact"/>
              <w:jc w:val="left"/>
            </w:pPr>
            <w:r>
              <w:t xml:space="preserve">[DATA PENDING]</w:t>
            </w:r>
          </w:p>
        </w:tc>
        <w:tc>
          <w:tcPr/>
          <w:p>
            <w:pPr>
              <w:pStyle w:val="Compact"/>
              <w:jc w:val="left"/>
            </w:pPr>
            <w:r>
              <w:t xml:space="preserve">[DATA PENDING]</w:t>
            </w:r>
          </w:p>
        </w:tc>
      </w:tr>
      <w:tr>
        <w:tc>
          <w:tcPr/>
          <w:p>
            <w:pPr>
              <w:pStyle w:val="Compact"/>
              <w:jc w:val="left"/>
            </w:pPr>
            <w:r>
              <w:rPr>
                <w:b/>
                <w:bCs/>
              </w:rPr>
              <w:t xml:space="preserve">Total</w:t>
            </w:r>
          </w:p>
        </w:tc>
        <w:tc>
          <w:tcPr/>
          <w:p>
            <w:pPr>
              <w:pStyle w:val="Compact"/>
              <w:jc w:val="left"/>
            </w:pPr>
            <w:r>
              <w:rPr>
                <w:b/>
                <w:bCs/>
              </w:rPr>
              <w:t xml:space="preserve">[DATA PENDING]</w:t>
            </w:r>
          </w:p>
        </w:tc>
        <w:tc>
          <w:tcPr/>
          <w:p>
            <w:pPr>
              <w:pStyle w:val="Compact"/>
              <w:jc w:val="left"/>
            </w:pPr>
            <w:r>
              <w:rPr>
                <w:b/>
                <w:bCs/>
              </w:rPr>
              <w:t xml:space="preserve">100.0</w:t>
            </w:r>
          </w:p>
        </w:tc>
      </w:tr>
    </w:tbl>
    <w:p>
      <w:pPr>
        <w:pStyle w:val="BodyText"/>
        <w:jc w:val="both"/>
        <w:spacing w:line="360" w:lineRule="auto"/>
      </w:pPr>
      <w:r>
        <w:rPr>
          <w:rFonts w:ascii="Times New Roman" w:hAnsi="Times New Roman"/>
          <w:sz w:val="24"/>
        </w:rPr>
        <w:t xml:space="preserve">[DATA PENDING: proportion]% of respondents (n = [DATA PENDING]) expressed at least some need for further digital skills training.</w:t>
      </w:r>
    </w:p>
    <w:bookmarkEnd w:id="62"/>
    <w:bookmarkStart w:id="63" w:name="Xc2d44644702203d15086446d010bdc957fc1ea5"/>
    <w:p>
      <w:pPr>
        <w:pStyle w:val="Heading4"/>
        <w:jc w:val="left"/>
        <w:spacing w:line="360" w:lineRule="auto"/>
      </w:pPr>
      <w:r>
        <w:rPr>
          <w:rFonts w:ascii="Times New Roman" w:hAnsi="Times New Roman"/>
          <w:b/>
          <w:sz w:val="24"/>
        </w:rPr>
        <w:t xml:space="preserve">4.7.3 Internal Consistency of Attitudinal Scale Items</w:t>
      </w:r>
    </w:p>
    <w:p>
      <w:pPr>
        <w:pStyle w:val="FirstParagraph"/>
        <w:jc w:val="both"/>
        <w:spacing w:line="360" w:lineRule="auto"/>
      </w:pPr>
      <w:r>
        <w:rPr>
          <w:rFonts w:ascii="Times New Roman" w:hAnsi="Times New Roman"/>
          <w:sz w:val="24"/>
        </w:rPr>
        <w:t xml:space="preserve">Post hoc assessment of internal consistency was conducted for attitudinal and efficiency subscale items (Sections C and D of the questionnaire). Cronbach’s alpha for the [DATA PENDING: n]-item attitudinal subscale (Section D) was α = [DATA PENDING]. Cronbach’s alpha for the [DATA PENDING: n]-item work efficiency subscale (Section C) was α = [DATA PENDING]. Both values [DATA PENDING: exceeded / did not reach] the pre-specified acceptability threshold of α ≥ 0.70.</w:t>
      </w:r>
    </w:p>
    <w:p>
      <w:pPr>
        <w:jc w:val="both"/>
        <w:spacing w:line="360" w:lineRule="auto"/>
      </w:pPr>
      <w:r>
        <w:rPr>
          <w:rFonts w:ascii="Times New Roman" w:hAnsi="Times New Roman"/>
          <w:sz w:val="24"/>
        </w:rPr>
        <w:pict>
          <v:rect style="width:0;height:1.5pt" o:hralign="center" o:hrstd="t" o:hr="t"/>
        </w:pict>
      </w:r>
    </w:p>
    <w:bookmarkEnd w:id="63"/>
    <w:bookmarkEnd w:id="64"/>
    <w:bookmarkEnd w:id="65"/>
    <w:bookmarkStart w:id="74" w:name="chapter-5-discussion"/>
    <w:p>
      <w:pPr>
        <w:pStyle w:val="Heading2"/>
        <w:jc w:val="left"/>
        <w:spacing w:line="360" w:lineRule="auto"/>
      </w:pPr>
      <w:r>
        <w:rPr>
          <w:rFonts w:ascii="Times New Roman" w:hAnsi="Times New Roman"/>
          <w:b/>
          <w:sz w:val="24"/>
        </w:rPr>
        <w:t xml:space="preserve">Chapter 5: Discussion</w:t>
      </w:r>
    </w:p>
    <w:p>
      <w:pPr>
        <w:pStyle w:val="FirstParagraph"/>
        <w:jc w:val="both"/>
        <w:spacing w:line="360" w:lineRule="auto"/>
      </w:pPr>
      <w:r>
        <w:rPr>
          <w:rFonts w:ascii="Times New Roman" w:hAnsi="Times New Roman"/>
          <w:sz w:val="24"/>
        </w:rPr>
        <w:t xml:space="preserve">This chapter provides an interpretive synthesis of the results presented in Chapter 4. Each of the four research hypotheses is evaluated in light of the statistical evidence obtained, and the findings are compared systematically with the theoretical frameworks introduced in Chapter 1 and with analogous empirical studies identified in the literature review. The chapter then addresses the broader theoretical and practical implications of the findings, proposes concrete evidence-based recommendations for nursing practice and healthcare policy in Slovakia, and identifies the study’s methodological limitations alongside directions for future research.</w:t>
      </w:r>
    </w:p>
    <w:bookmarkStart w:id="66" w:name="X43d4182e26f39cdcc058924478755905c82c357"/>
    <w:p>
      <w:pPr>
        <w:pStyle w:val="Heading3"/>
        <w:jc w:val="left"/>
        <w:spacing w:line="360" w:lineRule="auto"/>
      </w:pPr>
      <w:r>
        <w:rPr>
          <w:rFonts w:ascii="Times New Roman" w:hAnsi="Times New Roman"/>
          <w:b/>
          <w:sz w:val="24"/>
        </w:rPr>
        <w:t xml:space="preserve">5.1 Discussion of H1 — Frequency of Digital Tool Use and Self-Rated Work Efficiency</w:t>
      </w:r>
    </w:p>
    <w:p>
      <w:pPr>
        <w:pStyle w:val="FirstParagraph"/>
        <w:jc w:val="both"/>
        <w:spacing w:line="360" w:lineRule="auto"/>
      </w:pPr>
      <w:r>
        <w:rPr>
          <w:rFonts w:ascii="Times New Roman" w:hAnsi="Times New Roman"/>
          <w:sz w:val="24"/>
        </w:rPr>
        <w:t xml:space="preserve">Hypothesis 1 examined whether a statistically significant relationship exists between the frequency with which nurses use digital tools in clinical practice and their self-rated perception of how these tools affect their personal work efficiency. [DATA PENDING: Decision sentence — The hypothesis was confirmed / was not confirmed by the data (χ²([df]) = [value], p = [value], Cramér’s V = [value]).]</w:t>
      </w:r>
    </w:p>
    <w:p>
      <w:pPr>
        <w:pStyle w:val="BodyText"/>
        <w:jc w:val="both"/>
        <w:spacing w:line="360" w:lineRule="auto"/>
      </w:pPr>
      <w:r>
        <w:rPr>
          <w:rFonts w:ascii="Times New Roman" w:hAnsi="Times New Roman"/>
          <w:b/>
          <w:bCs/>
          <w:sz w:val="24"/>
        </w:rPr>
        <w:t xml:space="preserve">If H1 was confirmed:</w:t>
      </w:r>
      <w:r>
        <w:rPr>
          <w:rFonts w:ascii="Times New Roman" w:hAnsi="Times New Roman"/>
          <w:sz w:val="24"/>
        </w:rPr>
        <w:t xml:space="preserve"> </w:t>
      </w:r>
      <w:r>
        <w:rPr>
          <w:rFonts w:ascii="Times New Roman" w:hAnsi="Times New Roman"/>
          <w:sz w:val="24"/>
        </w:rPr>
        <w:t xml:space="preserve">The statistically significant association between higher frequency of digital tool use and more positive efficiency ratings is consistent with the core prediction of the Technology Acceptance Model (TAM), which holds that perceived usefulness — functionally equivalent to the efficiency gains captured by this study’s self-report scale — drives technology adoption and that adoption, in turn, reinforces perceived usefulness through accumulated experience and habituation (Davis, 1989). The direction of the observed association — with nurses reporting more frequent use also reporting greater efficiency gains — is consistent with a virtuous cycle dynamic identified in the nursing informatics literature: nurses who engage with digital tools more regularly develop greater fluency with interface design, invest less cognitive effort in navigating system complexity, and consequently perceive the tools as more useful (Xie, Zhang &amp; Zhu, 2025; Upadhyay &amp; Hu, 2022). [DATA PENDING: Describe the specific pattern in the contingency table — which cells show the most notable concentrations.]</w:t>
      </w:r>
    </w:p>
    <w:p>
      <w:pPr>
        <w:pStyle w:val="BodyText"/>
        <w:jc w:val="both"/>
        <w:spacing w:line="360" w:lineRule="auto"/>
      </w:pPr>
      <w:r>
        <w:rPr>
          <w:rFonts w:ascii="Times New Roman" w:hAnsi="Times New Roman"/>
          <w:sz w:val="24"/>
        </w:rPr>
        <w:t xml:space="preserve">This finding aligns closely with the cross-sectional survey conducted by Xie, Zhang and Zhu (2025) among [DATA PENDING: approximate comparator sample size] hospital nurses in Shanghai, China, in which frequency of EHR use was among the strongest predictors of perceived usefulness (β = [DATA PENDING: comparator value if available]), and with the qualitative analysis by Upadhyay and Hu (2022), in which clinicians who reported routine daily use of EHR systems consistently described efficiency gains in documentation retrieval, medication verification, and care handover. The convergence of these international findings with the present Slovak sample suggests that the positive relationship between usage frequency and efficiency appraisal is not context-specific but reflects a mechanism — practice-induced perceptual shift — that operates consistently across healthcare systems and institutional environments.</w:t>
      </w:r>
    </w:p>
    <w:p>
      <w:pPr>
        <w:pStyle w:val="BodyText"/>
        <w:jc w:val="both"/>
        <w:spacing w:line="360" w:lineRule="auto"/>
      </w:pPr>
      <w:r>
        <w:rPr>
          <w:rFonts w:ascii="Times New Roman" w:hAnsi="Times New Roman"/>
          <w:sz w:val="24"/>
        </w:rPr>
        <w:t xml:space="preserve">The effect size of the association (Cramér’s V = [DATA PENDING]) indicates a [DATA PENDING: small / medium / large] practical magnitude. [DATA PENDING: Interpret magnitude —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medium effect size suggests that frequency of use accounts for a meaningful proportion of variance in efficiency ratings, even when the cross-sectional design prevents causal directional inference.</w:t>
      </w:r>
      <w:r>
        <w:rPr>
          <w:rFonts w:ascii="Times New Roman" w:hAnsi="Times New Roman"/>
          <w:sz w:val="24"/>
        </w:rPr>
        <w:t xml:space="preserve">”</w:t>
      </w:r>
      <w:r>
        <w:rPr>
          <w:rFonts w:ascii="Times New Roman" w:hAnsi="Times New Roman"/>
          <w:sz w:val="24"/>
        </w:rPr>
        <w:t xml:space="preserve">] It is important to note that the cross-sectional nature of this study does not permit determination of causal direction: while frequent use may increase perceived efficiency through habituation, it is equally plausible that nurses who already regard digital tools as efficiency-enhancing are motivated to use them more frequently. A longitudinal design, in which changes in frequency of use are tracked alongside changes in efficiency ratings across time, would be required to disentangle these explanations.</w:t>
      </w:r>
    </w:p>
    <w:p>
      <w:pPr>
        <w:pStyle w:val="BodyText"/>
        <w:jc w:val="both"/>
        <w:spacing w:line="360" w:lineRule="auto"/>
      </w:pPr>
      <w:r>
        <w:rPr>
          <w:rFonts w:ascii="Times New Roman" w:hAnsi="Times New Roman"/>
          <w:b/>
          <w:bCs/>
          <w:sz w:val="24"/>
        </w:rPr>
        <w:t xml:space="preserve">If H1 was not confirmed:</w:t>
      </w:r>
      <w:r>
        <w:rPr>
          <w:rFonts w:ascii="Times New Roman" w:hAnsi="Times New Roman"/>
          <w:sz w:val="24"/>
        </w:rPr>
        <w:t xml:space="preserve"> </w:t>
      </w:r>
      <w:r>
        <w:rPr>
          <w:rFonts w:ascii="Times New Roman" w:hAnsi="Times New Roman"/>
          <w:sz w:val="24"/>
        </w:rPr>
        <w:t xml:space="preserve">The absence of a statistically significant association between frequency of digital tool use and self-rated work efficiency in this sample contrasts with the pattern predicted by TAM and documented in several international studies (Xie, Zhang &amp; Zhu, 2025; Upadhyay &amp; Hu, 2022). Several explanations merit consideration. First, the sample’s relatively [DATA PENDING: high / low] overall frequency of digital tool use — [DATA PENDING: describe distribution,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with [x]% reporting daily or more frequent use</w:t>
      </w:r>
      <w:r>
        <w:rPr>
          <w:rFonts w:ascii="Times New Roman" w:hAnsi="Times New Roman"/>
          <w:sz w:val="24"/>
        </w:rPr>
        <w:t xml:space="preserve">”</w:t>
      </w:r>
      <w:r>
        <w:rPr>
          <w:rFonts w:ascii="Times New Roman" w:hAnsi="Times New Roman"/>
          <w:sz w:val="24"/>
        </w:rPr>
        <w:t xml:space="preserve">] — may indicate a ceiling effect that reduces detectable between-group variance. Second, the self-report measurement of both variables through a single instrument creates the risk of common method variance, which could suppress or amplify associations depending on response patterns. Third, findings from the Polish cross-sectional study by Bartosiewicz, Burzyňska and Januszewicz (2021) similarly demonstrated that among nurses in environments where digital tool use is institutionally mandated rather than freely chosen, the subjective efficiency perception may not co-vary linearly with frequency because nurses attribute efficiency gains to the tools they voluntarily adopt but efficiency losses to those mandated by institutional policy, regardless of actual frequency. [DATA PENDING: Add any additional study-specific explanation if visible in the data distribution.]</w:t>
      </w:r>
    </w:p>
    <w:p>
      <w:pPr>
        <w:jc w:val="both"/>
        <w:spacing w:line="360" w:lineRule="auto"/>
      </w:pPr>
      <w:r>
        <w:rPr>
          <w:rFonts w:ascii="Times New Roman" w:hAnsi="Times New Roman"/>
          <w:sz w:val="24"/>
        </w:rPr>
        <w:pict>
          <v:rect style="width:0;height:1.5pt" o:hralign="center" o:hrstd="t" o:hr="t"/>
        </w:pict>
      </w:r>
    </w:p>
    <w:bookmarkEnd w:id="66"/>
    <w:bookmarkStart w:id="67" w:name="X579202b8287f0efac886041285c3b0abf52d3b9"/>
    <w:p>
      <w:pPr>
        <w:pStyle w:val="Heading3"/>
        <w:jc w:val="left"/>
        <w:spacing w:line="360" w:lineRule="auto"/>
      </w:pPr>
      <w:r>
        <w:rPr>
          <w:rFonts w:ascii="Times New Roman" w:hAnsi="Times New Roman"/>
          <w:b/>
          <w:sz w:val="24"/>
        </w:rPr>
        <w:t xml:space="preserve">5.2 Discussion of H2 — Education Level and Frequency of Digital Tool Use</w:t>
      </w:r>
    </w:p>
    <w:p>
      <w:pPr>
        <w:pStyle w:val="FirstParagraph"/>
        <w:jc w:val="both"/>
        <w:spacing w:line="360" w:lineRule="auto"/>
      </w:pPr>
      <w:r>
        <w:rPr>
          <w:rFonts w:ascii="Times New Roman" w:hAnsi="Times New Roman"/>
          <w:sz w:val="24"/>
        </w:rPr>
        <w:t xml:space="preserve">Hypothesis 2 examined whether nurses who have completed higher education — at bachelor’s degree level or above — use digital technologies more frequently than nurses whose highest completed qualification is secondary vocational nursing education. [DATA PENDING: Decision sentence — The hypothesis was confirmed / was not confirmed by the data (χ²([df]) = [value], p = [value], Cramér’s V = [value]).]</w:t>
      </w:r>
    </w:p>
    <w:p>
      <w:pPr>
        <w:pStyle w:val="BodyText"/>
        <w:jc w:val="both"/>
        <w:spacing w:line="360" w:lineRule="auto"/>
      </w:pPr>
      <w:r>
        <w:rPr>
          <w:rFonts w:ascii="Times New Roman" w:hAnsi="Times New Roman"/>
          <w:b/>
          <w:bCs/>
          <w:sz w:val="24"/>
        </w:rPr>
        <w:t xml:space="preserve">If H2 was confirmed:</w:t>
      </w:r>
      <w:r>
        <w:rPr>
          <w:rFonts w:ascii="Times New Roman" w:hAnsi="Times New Roman"/>
          <w:sz w:val="24"/>
        </w:rPr>
        <w:t xml:space="preserve"> </w:t>
      </w:r>
      <w:r>
        <w:rPr>
          <w:rFonts w:ascii="Times New Roman" w:hAnsi="Times New Roman"/>
          <w:sz w:val="24"/>
        </w:rPr>
        <w:t xml:space="preserve">The statistically significant association between higher educational qualification and more frequent digital tool use in this sample is consistent with the prevailing pattern in the international literature and provides empirical support grounded in the Slovak clinical context for what has previously been argued primarily on theoretical and cross-national grounds. Multiple studies using validated digital competency instruments have established that educational credential level is one of the strongest individual predictors of both informatics competency and frequency of digital tool use in clinical practice. Hariyati and colleagues (2024) found that bachelor’s-level nurses in an Indonesian clinical sample scored significantly higher than diploma-level nurses across six of seven informatics competency domains (p &lt; 0.05), with the largest disparity in basic computer literacy. Comparcini and colleagues (2025) identified postgraduate educational attainment as the primary differentiating variable for cluster membership in the highest digital health literacy group in a sample of [DATA PENDING: n] Italian registered nurses. A study specifically including Slovak nurse educators demonstrated that university degree — at master’s or doctoral level — was the single strongest independent predictor of digital competence, accounting for [DATA PENDING: comparator β value if available] of variance in a multiple regression model (Pajari et al., 2025).</w:t>
      </w:r>
    </w:p>
    <w:p>
      <w:pPr>
        <w:pStyle w:val="BodyText"/>
        <w:jc w:val="both"/>
        <w:spacing w:line="360" w:lineRule="auto"/>
      </w:pPr>
      <w:r>
        <w:rPr>
          <w:rFonts w:ascii="Times New Roman" w:hAnsi="Times New Roman"/>
          <w:sz w:val="24"/>
        </w:rPr>
        <w:t xml:space="preserve">The theoretical basis for this finding is well established at three levels. At the individual level, Human Capital Theory (Becker, 1964) predicts that greater investment in formal education yields greater productivity-relevant capabilities; in the nursing informatics context, this translates to more structured, theory-grounded technology curricula with progressive digital skill development at each academic level. At the curricular level, the TIGER (Technology Informatics Guiding Education Reform) framework explicitly maps nursing informatics competencies to credential level — secondary programmes address basic computer literacy, bachelor’s programmes add information literacy and clinical data management, and master’s programmes develop advanced informatics leadership competencies (TIGER Initiative, 2017). At the conceptual level, TAM’s perceived ease of use construct provides the psychological mechanism: nurses with greater formal exposure to information technology perceive digital tools as requiring less effort, which reduces adoption barriers and promotes more frequent use.</w:t>
      </w:r>
    </w:p>
    <w:p>
      <w:pPr>
        <w:pStyle w:val="BodyText"/>
        <w:jc w:val="both"/>
        <w:spacing w:line="360" w:lineRule="auto"/>
      </w:pPr>
      <w:r>
        <w:rPr>
          <w:rFonts w:ascii="Times New Roman" w:hAnsi="Times New Roman"/>
          <w:sz w:val="24"/>
        </w:rPr>
        <w:t xml:space="preserve">[DATA PENDING: Note if educational groups differed in type of workplace or experience, since these are potential confounders.] The observed effect size (Cramér’s V = [DATA PENDING]) indicates a [DATA PENDING: small / medium / large] association. [DATA PENDING: Discuss whether the magnitude is consistent with international estimates or whether it appears attenuated, e.g., due to institutional mandatory EHR use that eliminates frequency variation among lower-frequency users.]</w:t>
      </w:r>
    </w:p>
    <w:p>
      <w:pPr>
        <w:pStyle w:val="BodyText"/>
        <w:jc w:val="both"/>
        <w:spacing w:line="360" w:lineRule="auto"/>
      </w:pPr>
      <w:r>
        <w:rPr>
          <w:rFonts w:ascii="Times New Roman" w:hAnsi="Times New Roman"/>
          <w:b/>
          <w:bCs/>
          <w:sz w:val="24"/>
        </w:rPr>
        <w:t xml:space="preserve">If H2 was not confirmed:</w:t>
      </w:r>
      <w:r>
        <w:rPr>
          <w:rFonts w:ascii="Times New Roman" w:hAnsi="Times New Roman"/>
          <w:sz w:val="24"/>
        </w:rPr>
        <w:t xml:space="preserve"> </w:t>
      </w:r>
      <w:r>
        <w:rPr>
          <w:rFonts w:ascii="Times New Roman" w:hAnsi="Times New Roman"/>
          <w:sz w:val="24"/>
        </w:rPr>
        <w:t xml:space="preserve">The absence of a statistically significant difference between education groups in frequency of digital tool use in this sample diverges from the prevailing international pattern (Hariyati et al., 2024; Comparcini et al., 2025; Pajari et al., 2025) and warrants careful consideration. The most plausible institutional explanation is that EHR use in Slovak healthcare facilities is not voluntary but is embedded in the legal obligations of the eHealth Act (Act No. 153/2013 Coll.), meaning that frequency of use may be primarily determined by the type of clinical role and shift structure rather than by education-driven digital propensity. When regulatory compliance mandates universal tool use, the individual-level variance typically explained by education is suppressed (Cho, Kim &amp; Choi, 2021). It is also notable that the study by Li and colleagues (2025) found no significant education-level effect on digital literacy when the range of educational attainment within the sample was narrow — a consideration that may apply here if the proportion of secondary-qualified respondents was [DATA PENDING: relatively small / large], reducing the statistical contrast between groups. [DATA PENDING: Describe actual distribution and comment on whether restricted range may account for the null finding.]</w:t>
      </w:r>
    </w:p>
    <w:p>
      <w:pPr>
        <w:jc w:val="both"/>
        <w:spacing w:line="360" w:lineRule="auto"/>
      </w:pPr>
      <w:r>
        <w:rPr>
          <w:rFonts w:ascii="Times New Roman" w:hAnsi="Times New Roman"/>
          <w:sz w:val="24"/>
        </w:rPr>
        <w:pict>
          <v:rect style="width:0;height:1.5pt" o:hralign="center" o:hrstd="t" o:hr="t"/>
        </w:pict>
      </w:r>
    </w:p>
    <w:bookmarkEnd w:id="67"/>
    <w:bookmarkStart w:id="68" w:name="Xe2e791b102e9a279572fad27144180024c396ce"/>
    <w:p>
      <w:pPr>
        <w:pStyle w:val="Heading3"/>
        <w:jc w:val="left"/>
        <w:spacing w:line="360" w:lineRule="auto"/>
      </w:pPr>
      <w:r>
        <w:rPr>
          <w:rFonts w:ascii="Times New Roman" w:hAnsi="Times New Roman"/>
          <w:b/>
          <w:sz w:val="24"/>
        </w:rPr>
        <w:t xml:space="preserve">5.3 Discussion of H3 — Years of Clinical Experience and Attitude Toward Digital Technologies</w:t>
      </w:r>
    </w:p>
    <w:p>
      <w:pPr>
        <w:pStyle w:val="FirstParagraph"/>
        <w:jc w:val="both"/>
        <w:spacing w:line="360" w:lineRule="auto"/>
      </w:pPr>
      <w:r>
        <w:rPr>
          <w:rFonts w:ascii="Times New Roman" w:hAnsi="Times New Roman"/>
          <w:sz w:val="24"/>
        </w:rPr>
        <w:t xml:space="preserve">Hypothesis 3 examined whether a statistically significant relationship exists between the number of years of clinical nursing experience and nurses’ overall attitudinal orientation toward digital technologies in healthcare. [DATA PENDING: Decision sentence — The hypothesis was confirmed / was not confirmed by the data (χ²([df]) = [value], p = [value], Cramér’s V = [value]).]</w:t>
      </w:r>
    </w:p>
    <w:p>
      <w:pPr>
        <w:pStyle w:val="BodyText"/>
        <w:jc w:val="both"/>
        <w:spacing w:line="360" w:lineRule="auto"/>
      </w:pPr>
      <w:r>
        <w:rPr>
          <w:rFonts w:ascii="Times New Roman" w:hAnsi="Times New Roman"/>
          <w:b/>
          <w:bCs/>
          <w:sz w:val="24"/>
        </w:rPr>
        <w:t xml:space="preserve">If H3 was confirmed:</w:t>
      </w:r>
      <w:r>
        <w:rPr>
          <w:rFonts w:ascii="Times New Roman" w:hAnsi="Times New Roman"/>
          <w:sz w:val="24"/>
        </w:rPr>
        <w:t xml:space="preserve"> </w:t>
      </w:r>
      <w:r>
        <w:rPr>
          <w:rFonts w:ascii="Times New Roman" w:hAnsi="Times New Roman"/>
          <w:sz w:val="24"/>
        </w:rPr>
        <w:t xml:space="preserve">A statistically significant relationship between years of clinical experience and attitude toward digital technologies was observed, with [DATA PENDING: describe directional pattern —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nurses in the &gt;20-year experience band showing notably higher proportions of negative or neutral attitudes compared with nurses in the 0–5 year band</w:t>
      </w:r>
      <w:r>
        <w:rPr>
          <w:rFonts w:ascii="Times New Roman" w:hAnsi="Times New Roman"/>
          <w:sz w:val="24"/>
        </w:rPr>
        <w:t xml:space="preserve">”</w:t>
      </w:r>
      <w:r>
        <w:rPr>
          <w:rFonts w:ascii="Times New Roman" w:hAnsi="Times New Roman"/>
          <w:sz w:val="24"/>
        </w:rPr>
        <w:t xml:space="preserve">]. This directional pattern is consistent with the theoretical predictions of both UTAUT and the FITT framework. UTAUT formally encodes experience as a moderating variable, predicting that effort expectancy — the perceived cognitive burden of using a new technology — carries increasing weight among more experienced workers (Venkatesh, Morris, Davis &amp; Davis, 2003). For nurses whose clinical routines were established and consolidated in pre-digital environments, the introduction of electronic systems constitutes a higher-cost disruption than for nurses who entered practice after digital tools had become standard. This mechanism was documented qualitatively by De Leeuw, Woltjer and Kool (2020) in a study of experienced nurses (mean tenure 28.9 years) who described a self-reinforcing cycle of digital avoidance driven by anxiety, incomplete training, and cumulative negative encounters with technology.</w:t>
      </w:r>
    </w:p>
    <w:p>
      <w:pPr>
        <w:pStyle w:val="BodyText"/>
        <w:jc w:val="both"/>
        <w:spacing w:line="360" w:lineRule="auto"/>
      </w:pPr>
      <w:r>
        <w:rPr>
          <w:rFonts w:ascii="Times New Roman" w:hAnsi="Times New Roman"/>
          <w:sz w:val="24"/>
        </w:rPr>
        <w:t xml:space="preserve">The finding is also consistent with the quantitative evidence from the cross-sectional survey by Alrasheeday and colleagues (2023) in Saudi Arabia, in which nurses with fewer than five years of clinical experience had significantly more positive EHR attitudes than their more experienced counterparts (p = 0.048), and with the systematic review by Iseni and colleagues (2026) in geriatric long-term care nursing, which documented lower digital technology acceptance among older and longer-tenured staff. From the perspective of Generational Cohort Theory (Strauss &amp; Howe, 1991; Mellum, 2024), nurses with more than 20 years of clinical experience are predominantly of Baby Boomer or early Generation X cohort membership, having received pre-digital foundational nursing education whose informatics content was minimal by contemporary standards.</w:t>
      </w:r>
    </w:p>
    <w:p>
      <w:pPr>
        <w:pStyle w:val="BodyText"/>
        <w:jc w:val="both"/>
        <w:spacing w:line="360" w:lineRule="auto"/>
      </w:pPr>
      <w:r>
        <w:rPr>
          <w:rFonts w:ascii="Times New Roman" w:hAnsi="Times New Roman"/>
          <w:sz w:val="24"/>
        </w:rPr>
        <w:t xml:space="preserve">However, the effect size (Cramér’s V = [DATA PENDING]) should be interpreted with appropriate caution. [DATA PENDING: Comment on magnitude —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small-to-medium effect size suggests that years of experience, while statistically associated with attitude, accounts for only a limited proportion of attitudinal variance. This is consistent with the finding by Walzer and colleagues (2025) that organisational factors — leadership, training adequacy, and institutional digital culture — are more powerful determinants of technology acceptance than individual nurse characteristics including clinical seniority.</w:t>
      </w:r>
      <w:r>
        <w:rPr>
          <w:rFonts w:ascii="Times New Roman" w:hAnsi="Times New Roman"/>
          <w:sz w:val="24"/>
        </w:rPr>
        <w:t xml:space="preserve">”</w:t>
      </w:r>
      <w:r>
        <w:rPr>
          <w:rFonts w:ascii="Times New Roman" w:hAnsi="Times New Roman"/>
          <w:sz w:val="24"/>
        </w:rPr>
        <w:t xml:space="preserve">] The implication is that a negative attitude toward digital technologies among experienced nurses is not an immutable individual trait but a product of educational history and organisational context, both of which are modifiable through targeted intervention.</w:t>
      </w:r>
    </w:p>
    <w:p>
      <w:pPr>
        <w:pStyle w:val="BodyText"/>
        <w:jc w:val="both"/>
        <w:spacing w:line="360" w:lineRule="auto"/>
      </w:pPr>
      <w:r>
        <w:rPr>
          <w:rFonts w:ascii="Times New Roman" w:hAnsi="Times New Roman"/>
          <w:b/>
          <w:bCs/>
          <w:sz w:val="24"/>
        </w:rPr>
        <w:t xml:space="preserve">If H3 was not confirmed:</w:t>
      </w:r>
      <w:r>
        <w:rPr>
          <w:rFonts w:ascii="Times New Roman" w:hAnsi="Times New Roman"/>
          <w:sz w:val="24"/>
        </w:rPr>
        <w:t xml:space="preserve"> </w:t>
      </w:r>
      <w:r>
        <w:rPr>
          <w:rFonts w:ascii="Times New Roman" w:hAnsi="Times New Roman"/>
          <w:sz w:val="24"/>
        </w:rPr>
        <w:t xml:space="preserve">The absence of a statistically significant relationship between years of clinical experience and technology attitudes in this sample is not without precedent in the literature. Güllü and Aytekin Kanadli (2025) found no significant difference in health technology attitudes across experience tenure categories (0–5, 6–10, 11–15, and &gt;16 years) in a sample of 90 ICU nurses in a Turkish clinical hospital (p &gt; 0.05), a finding the authors attributed to the homogenising effect of continuous mandatory digital tool training in that specific institutional context. Chang and colleagues (2025) similarly found that organisational support and training adequacy explained more attitudinal variance than demographic characteristics including experience tenure. These findings suggest that the relationship between clinical experience and technology attitudes is heterogeneous across healthcare settings: in institutions that invest in structured, longitudinal digital competency programmes, the experience-based attitudinal gap documented in under-resourced environments may be substantially attenuated or eliminated. [DATA PENDING: Comment on whether the sample’s institutional distribution may account for the null finding.]</w:t>
      </w:r>
    </w:p>
    <w:p>
      <w:pPr>
        <w:jc w:val="both"/>
        <w:spacing w:line="360" w:lineRule="auto"/>
      </w:pPr>
      <w:r>
        <w:rPr>
          <w:rFonts w:ascii="Times New Roman" w:hAnsi="Times New Roman"/>
          <w:sz w:val="24"/>
        </w:rPr>
        <w:pict>
          <v:rect style="width:0;height:1.5pt" o:hralign="center" o:hrstd="t" o:hr="t"/>
        </w:pict>
      </w:r>
    </w:p>
    <w:bookmarkEnd w:id="68"/>
    <w:bookmarkStart w:id="69" w:name="X3c9f76d467415a3f5acffa7f93b753f7e44b1aa"/>
    <w:p>
      <w:pPr>
        <w:pStyle w:val="Heading3"/>
        <w:jc w:val="left"/>
        <w:spacing w:line="360" w:lineRule="auto"/>
      </w:pPr>
      <w:r>
        <w:rPr>
          <w:rFonts w:ascii="Times New Roman" w:hAnsi="Times New Roman"/>
          <w:b/>
          <w:sz w:val="24"/>
        </w:rPr>
        <w:t xml:space="preserve">5.4 Discussion of H4 — Proportion of Nurses Rating EHR as Beneficial to Patient Care Quality and Safety</w:t>
      </w:r>
    </w:p>
    <w:p>
      <w:pPr>
        <w:pStyle w:val="FirstParagraph"/>
        <w:jc w:val="both"/>
        <w:spacing w:line="360" w:lineRule="auto"/>
      </w:pPr>
      <w:r>
        <w:rPr>
          <w:rFonts w:ascii="Times New Roman" w:hAnsi="Times New Roman"/>
          <w:sz w:val="24"/>
        </w:rPr>
        <w:t xml:space="preserve">Hypothesis 4 examined whether the proportion of nurses who rate EHR systems as contributing to improved quality and safety of patient care exceeds the 50% threshold. [DATA PENDING: Decision sentence — The hypothesis was confirmed / was not confirmed (p̂ = [value], z = [value], p = [value]).]</w:t>
      </w:r>
    </w:p>
    <w:p>
      <w:pPr>
        <w:pStyle w:val="BodyText"/>
        <w:jc w:val="both"/>
        <w:spacing w:line="360" w:lineRule="auto"/>
      </w:pPr>
      <w:r>
        <w:rPr>
          <w:rFonts w:ascii="Times New Roman" w:hAnsi="Times New Roman"/>
          <w:b/>
          <w:bCs/>
          <w:sz w:val="24"/>
        </w:rPr>
        <w:t xml:space="preserve">If H4 was confirmed:</w:t>
      </w:r>
      <w:r>
        <w:rPr>
          <w:rFonts w:ascii="Times New Roman" w:hAnsi="Times New Roman"/>
          <w:sz w:val="24"/>
        </w:rPr>
        <w:t xml:space="preserve"> </w:t>
      </w:r>
      <w:r>
        <w:rPr>
          <w:rFonts w:ascii="Times New Roman" w:hAnsi="Times New Roman"/>
          <w:sz w:val="24"/>
        </w:rPr>
        <w:t xml:space="preserve">The finding that [DATA PENDING: p̂ × 100]% of nurses in this sample rated EHR systems as positively contributing to patient care quality and safety — a proportion statistically significantly exceeding 50% (z = [DATA PENDING], p = [DATA PENDING]) — represents an important empirical anchoring of Slovak nurses’ subjective assessments within the broader international evidence on EHR effectiveness. This alignment between nurses’ perceptions and the objective outcome evidence documented in the literature provides several important insights.</w:t>
      </w:r>
    </w:p>
    <w:p>
      <w:pPr>
        <w:pStyle w:val="BodyText"/>
        <w:jc w:val="both"/>
        <w:spacing w:line="360" w:lineRule="auto"/>
      </w:pPr>
      <w:r>
        <w:rPr>
          <w:rFonts w:ascii="Times New Roman" w:hAnsi="Times New Roman"/>
          <w:sz w:val="24"/>
        </w:rPr>
        <w:t xml:space="preserve">First, the positive majority assessment reflects what the international systematic review evidence leads us to expect: EHR-mediated clinical decision support and electronic medication management systems are associated with medication error reductions of between 24% and 83% in well-designed implementations (Insani et al., 2025), with a moderate-certainty reduction in adverse drug events (OR = 0.82, 95% CI 0.71–0.94) documented in a rapid review of 27 systematic reviews (Syrowatka et al., 2024). Slovak nurses whose daily experience includes electronic medication verification, digital care handover, and eZdravie patient summary access are exposed to the error-reducing mechanisms that drive these objective improvements, and their subjective assessments appear to reflect that exposure.</w:t>
      </w:r>
    </w:p>
    <w:p>
      <w:pPr>
        <w:pStyle w:val="BodyText"/>
        <w:jc w:val="both"/>
        <w:spacing w:line="360" w:lineRule="auto"/>
      </w:pPr>
      <w:r>
        <w:rPr>
          <w:rFonts w:ascii="Times New Roman" w:hAnsi="Times New Roman"/>
          <w:sz w:val="24"/>
        </w:rPr>
        <w:t xml:space="preserve">Second, it is noteworthy that the proportion did not approach [DATA PENDING: comment on how close to 100% or how much above 50% the value is]. [DATA PENDING: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proportion of [p̂ × 100]%, while confirming the hypothesis, simultaneously indicates that approximately [100 − p̂ × 100]% of nurses either perceived no quality improvement or perceived a worsening — a share that cannot be attributed solely to measurement artefact.</w:t>
      </w:r>
      <w:r>
        <w:rPr>
          <w:rFonts w:ascii="Times New Roman" w:hAnsi="Times New Roman"/>
          <w:sz w:val="24"/>
        </w:rPr>
        <w:t xml:space="preserve">”</w:t>
      </w:r>
      <w:r>
        <w:rPr>
          <w:rFonts w:ascii="Times New Roman" w:hAnsi="Times New Roman"/>
          <w:sz w:val="24"/>
        </w:rPr>
        <w:t xml:space="preserve">] This residual scepticism is consistent with the paradox identified in the documentation burden literature: nurses may simultaneously acknowledge EHR’s error-reduction benefits while experiencing the system’s documentation demands as a burden that consumes time previously available for direct patient care. Jacques and colleagues (2025) documented that flowsheet documentation consumed 31.11% of a 12-hour nursing shift in a four-hospital US academic system; Volkan and colleagues (2024) found that EHR digitalisation saved an average of 10.8–13% of shift time per nurse, but only after a sustained period of implementation maturity. The coexistence of efficiency concerns and safety acknowledgement in nurses’ EHR evaluations is therefore not contradictory but reflects the temporal asymmetry of EHR benefits — safety improvements are persistent but may take time to become experientially salient, while documentation burdens are immediately felt.</w:t>
      </w:r>
    </w:p>
    <w:p>
      <w:pPr>
        <w:pStyle w:val="BodyText"/>
        <w:jc w:val="both"/>
        <w:spacing w:line="360" w:lineRule="auto"/>
      </w:pPr>
      <w:r>
        <w:rPr>
          <w:rFonts w:ascii="Times New Roman" w:hAnsi="Times New Roman"/>
          <w:b/>
          <w:bCs/>
          <w:sz w:val="24"/>
        </w:rPr>
        <w:t xml:space="preserve">If H4 was not confirmed:</w:t>
      </w:r>
      <w:r>
        <w:rPr>
          <w:rFonts w:ascii="Times New Roman" w:hAnsi="Times New Roman"/>
          <w:sz w:val="24"/>
        </w:rPr>
        <w:t xml:space="preserve"> </w:t>
      </w:r>
      <w:r>
        <w:rPr>
          <w:rFonts w:ascii="Times New Roman" w:hAnsi="Times New Roman"/>
          <w:sz w:val="24"/>
        </w:rPr>
        <w:t xml:space="preserve">The finding that the proportion of nurses rating EHR positively did not statistically significantly exceed 50% (p̂ = [DATA PENDING], z = [DATA PENDING], p = [DATA PENDING]) diverges from what the international evidence on EHR effectiveness would predict and warrants careful institutional interpretation. The most important contextual consideration is the implementation maturity of EHR systems within the facilities represented in this sample. The Slovak eZdravie national EHR platform launched in 2018 and has been characterised by uneven professional enrollment and, in many facilities, dual documentation burden — a coexistence of paper-based and electronic records that imposes additive workload without delivering the full care coordination benefits associated with comprehensive EHR deployment (Štempeľová, Hudáková &amp; Takáč, 2023). In this context, nurses’ scepticism toward EHR quality contribution may accurately reflect their experience of a system that is not yet integrated or user-friendly enough to deliver the safety gains documented in high-maturity implementations.</w:t>
      </w:r>
    </w:p>
    <w:p>
      <w:pPr>
        <w:pStyle w:val="BodyText"/>
        <w:jc w:val="both"/>
        <w:spacing w:line="360" w:lineRule="auto"/>
      </w:pPr>
      <w:r>
        <w:rPr>
          <w:rFonts w:ascii="Times New Roman" w:hAnsi="Times New Roman"/>
          <w:sz w:val="24"/>
        </w:rPr>
        <w:t xml:space="preserve">This interpretation is supported by Campione and Liu (2024), whose survey of 8,880 hospital staff found that long-tenured nurses were among the most dissatisfied with EHR support and communication, and that inaccuracy reports increased with implementation age — consistent with EHR fatigue in systems that have not been iteratively improved. Upadhyay and Hu (2022) similarly documented that clinicians in facilities with fragmented, non-interoperable EHR systems reported neutral or negative quality perceptions, attributing problems to copy-paste errors and system siloing rather than to EHR as a concept. The implication for Slovak healthcare policy is significant: nurses’ negative or neutral EHR quality assessments should be read not as resistance to digital transformation per se, but as a signal that the current generation of eZdravie implementations does not yet meet the usability and integration standards required to translate the technology’s potential into experientially perceived quality improvement.</w:t>
      </w:r>
    </w:p>
    <w:p>
      <w:pPr>
        <w:jc w:val="both"/>
        <w:spacing w:line="360" w:lineRule="auto"/>
      </w:pPr>
      <w:r>
        <w:rPr>
          <w:rFonts w:ascii="Times New Roman" w:hAnsi="Times New Roman"/>
          <w:sz w:val="24"/>
        </w:rPr>
        <w:pict>
          <v:rect style="width:0;height:1.5pt" o:hralign="center" o:hrstd="t" o:hr="t"/>
        </w:pict>
      </w:r>
    </w:p>
    <w:bookmarkEnd w:id="69"/>
    <w:bookmarkStart w:id="70" w:name="comparison-with-existing-studies"/>
    <w:p>
      <w:pPr>
        <w:pStyle w:val="Heading3"/>
        <w:jc w:val="left"/>
        <w:spacing w:line="360" w:lineRule="auto"/>
      </w:pPr>
      <w:r>
        <w:rPr>
          <w:rFonts w:ascii="Times New Roman" w:hAnsi="Times New Roman"/>
          <w:b/>
          <w:sz w:val="24"/>
        </w:rPr>
        <w:t xml:space="preserve">5.5 Comparison With Existing Studies</w:t>
      </w:r>
    </w:p>
    <w:p>
      <w:pPr>
        <w:pStyle w:val="FirstParagraph"/>
        <w:jc w:val="both"/>
        <w:spacing w:line="360" w:lineRule="auto"/>
      </w:pPr>
      <w:r>
        <w:rPr>
          <w:rFonts w:ascii="Times New Roman" w:hAnsi="Times New Roman"/>
          <w:sz w:val="24"/>
        </w:rPr>
        <w:t xml:space="preserve">The present study is, to the author’s knowledge, the first systematic empirical survey of digital tool use, technology attitudes, and EHR quality perceptions among clinical nurses in Slovakia. Direct comparisons with an exact Slovak equivalent are therefore not possible; instead, the findings are contextualised against studies conducted in analogous Central and Eastern European healthcare settings and against the international literature where common theoretical frameworks and measurement instruments permit meaningful alignment.</w:t>
      </w:r>
    </w:p>
    <w:p>
      <w:pPr>
        <w:pStyle w:val="BodyText"/>
        <w:jc w:val="both"/>
        <w:spacing w:line="360" w:lineRule="auto"/>
      </w:pPr>
      <w:r>
        <w:rPr>
          <w:rFonts w:ascii="Times New Roman" w:hAnsi="Times New Roman"/>
          <w:sz w:val="24"/>
        </w:rPr>
        <w:t xml:space="preserve">The closest regional comparator is the cross-sectional survey conducted by Bartosiewicz, Burzyňska and Januszewicz (2021) among 849 clinical nurses in southeastern Poland — the largest Central European empirical study of nursing digital technology adoption identified in the literature review for this thesis. That study found that [DATA PENDING: cite specific finding from Bartosiewicz if available in research files, e.g., approximately x% of nurses used digital tools daily; frequency was positively associated with attitudes; younger nurses showed more positive attitudes]. The direction of findings in the present Slovak sample is [DATA PENDING: broadly consistent / partially divergent / divergent] with the Polish data. The degree of alignment is notable given the structural similarities between the Polish and Slovak nursing workforces — comparable education system structures, comparable EMRAM progression stages in hospital facilities, and comparable dual documentation burdens during the eHealth transition period.</w:t>
      </w:r>
    </w:p>
    <w:p>
      <w:pPr>
        <w:pStyle w:val="BodyText"/>
        <w:jc w:val="both"/>
        <w:spacing w:line="360" w:lineRule="auto"/>
      </w:pPr>
      <w:r>
        <w:rPr>
          <w:rFonts w:ascii="Times New Roman" w:hAnsi="Times New Roman"/>
          <w:sz w:val="24"/>
        </w:rPr>
        <w:t xml:space="preserve">The Hungarian physician survey by Girasek and colleagues (2024), while focusing on physicians rather than nurses and on a different professional group, provides a CEE-region anchor for the age and experience findings relevant to H3. Girasek et al. found that [DATA PENDING: describe finding re: age/experience and digital attitudes in Hungarian physicians]. The presence of an experience-based attitudinal gradient in a neighbouring healthcare system with similar generational workforce characteristics strengthens the regional ecological validity of the present study’s H3 finding, whether confirmed or not.</w:t>
      </w:r>
    </w:p>
    <w:p>
      <w:pPr>
        <w:pStyle w:val="BodyText"/>
        <w:jc w:val="both"/>
        <w:spacing w:line="360" w:lineRule="auto"/>
      </w:pPr>
      <w:r>
        <w:rPr>
          <w:rFonts w:ascii="Times New Roman" w:hAnsi="Times New Roman"/>
          <w:sz w:val="24"/>
        </w:rPr>
        <w:t xml:space="preserve">At the international level, the umbrella review by Walzer and colleagues (2025) — synthesising 65 systematic reviews and 1,806 primary studies — identified [DATA PENDING: describe most relevant finding for comparison, e.g.,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consistent, cross-national dominance of organisational factors (training, leadership, culture) over individual characteristics in determining technology adoption outcomes</w:t>
      </w:r>
      <w:r>
        <w:rPr>
          <w:rFonts w:ascii="Times New Roman" w:hAnsi="Times New Roman"/>
          <w:sz w:val="24"/>
        </w:rPr>
        <w:t xml:space="preserve">”</w:t>
      </w:r>
      <w:r>
        <w:rPr>
          <w:rFonts w:ascii="Times New Roman" w:hAnsi="Times New Roman"/>
          <w:sz w:val="24"/>
        </w:rPr>
        <w:t xml:space="preserve">]. The present study’s focus on individual-level predictors (education, experience) rather than organisational variables represents a methodological choice appropriate to a master’s-level thesis with a single self-administered questionnaire instrument, but means that the organisational context — which Walzer et al. identify as the primary explanatory domain — remains unmeasured in this dataset.</w:t>
      </w:r>
    </w:p>
    <w:p>
      <w:pPr>
        <w:pStyle w:val="BodyText"/>
        <w:jc w:val="both"/>
        <w:spacing w:line="360" w:lineRule="auto"/>
      </w:pPr>
      <w:r>
        <w:rPr>
          <w:rFonts w:ascii="Times New Roman" w:hAnsi="Times New Roman"/>
          <w:sz w:val="24"/>
        </w:rPr>
        <w:t xml:space="preserve">The comparator study from the Italian nursing context — Comparcini and colleagues (2025), examining digital health literacy in [DATA PENDING: n] registered nurses — is directly relevant to H2. [DATA PENDING: describe the extent to which the Italian finding of postgraduate education predicting highest-cluster membership aligns with or diverges from the present H2 result.] Where the present study diverges from Italian findings, the most plausible structural explanations are [DATA PENDING: e.g., differences in EHR regulatory mandate versus voluntary adoption, differences in the distribution of qualification levels across the sample, or healthcare infrastructure maturity differences between Italy and Slovakia].</w:t>
      </w:r>
    </w:p>
    <w:p>
      <w:pPr>
        <w:jc w:val="both"/>
        <w:spacing w:line="360" w:lineRule="auto"/>
      </w:pPr>
      <w:r>
        <w:rPr>
          <w:rFonts w:ascii="Times New Roman" w:hAnsi="Times New Roman"/>
          <w:sz w:val="24"/>
        </w:rPr>
        <w:pict>
          <v:rect style="width:0;height:1.5pt" o:hralign="center" o:hrstd="t" o:hr="t"/>
        </w:pict>
      </w:r>
    </w:p>
    <w:bookmarkEnd w:id="70"/>
    <w:bookmarkStart w:id="71" w:name="theoretical-implications"/>
    <w:p>
      <w:pPr>
        <w:pStyle w:val="Heading3"/>
        <w:jc w:val="left"/>
        <w:spacing w:line="360" w:lineRule="auto"/>
      </w:pPr>
      <w:r>
        <w:rPr>
          <w:rFonts w:ascii="Times New Roman" w:hAnsi="Times New Roman"/>
          <w:b/>
          <w:sz w:val="24"/>
        </w:rPr>
        <w:t xml:space="preserve">5.6 Theoretical Implications</w:t>
      </w:r>
    </w:p>
    <w:p>
      <w:pPr>
        <w:pStyle w:val="FirstParagraph"/>
        <w:jc w:val="both"/>
        <w:spacing w:line="360" w:lineRule="auto"/>
      </w:pPr>
      <w:r>
        <w:rPr>
          <w:rFonts w:ascii="Times New Roman" w:hAnsi="Times New Roman"/>
          <w:sz w:val="24"/>
        </w:rPr>
        <w:t xml:space="preserve">The findings of this study contribute to the empirical base for three theoretical frameworks applied in the nursing informatics literature.</w:t>
      </w:r>
    </w:p>
    <w:p>
      <w:pPr>
        <w:pStyle w:val="BodyText"/>
        <w:jc w:val="both"/>
        <w:spacing w:line="360" w:lineRule="auto"/>
      </w:pPr>
      <w:r>
        <w:rPr>
          <w:rFonts w:ascii="Times New Roman" w:hAnsi="Times New Roman"/>
          <w:sz w:val="24"/>
        </w:rPr>
        <w:t xml:space="preserve">With respect to the Technology Acceptance Model, the [DATA PENDING: confirmed / partial / non-confirmed] result for H1 [DATA PENDING: supports / complicates / contradicts] the TAM prediction that perceived usefulness co-varies with actual use behaviour. [DATA PENDING: 2–3 sentences elaborating the theoretical implication — e.g., if confirmed: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supports the TAM contention that habituation through repeated use deepens perceived utility, consistent with later extensions of the model that incorporate experience as a moderator of the usefulness–attitude relationship (TAM2; Venkatesh &amp; Davis, 2000).</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If not confirmed: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absence of a significant association may indicate that, in a regulatory compliance environment, the correlation between actual use frequency and perceived usefulness is attenuated because use is not driven by perceived value but by institutional mandate, which severs the feedback loop that TAM assumes.</w:t>
      </w:r>
      <w:r>
        <w:rPr>
          <w:rFonts w:ascii="Times New Roman" w:hAnsi="Times New Roman"/>
          <w:sz w:val="24"/>
        </w:rPr>
        <w:t xml:space="preserve">”</w:t>
      </w:r>
      <w:r>
        <w:rPr>
          <w:rFonts w:ascii="Times New Roman" w:hAnsi="Times New Roman"/>
          <w:sz w:val="24"/>
        </w:rPr>
        <w:t xml:space="preserve">]</w:t>
      </w:r>
    </w:p>
    <w:p>
      <w:pPr>
        <w:pStyle w:val="BodyText"/>
        <w:jc w:val="both"/>
        <w:spacing w:line="360" w:lineRule="auto"/>
      </w:pPr>
      <w:r>
        <w:rPr>
          <w:rFonts w:ascii="Times New Roman" w:hAnsi="Times New Roman"/>
          <w:sz w:val="24"/>
        </w:rPr>
        <w:t xml:space="preserve">With respect to UTAUT, the [DATA PENDING: confirmed / non-confirmed] finding for H3 [DATA PENDING: provides support for / complicates] the model’s formal specification of experience as a moderating variable. [DATA PENDING: 2–3 sentences — e.g., if confirmed: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observed attitudinal gradient by experience band is consistent with UTAUT’s prediction that effort expectancy has progressively greater weight among longer-tenured workers. The data suggest that the switching costs accumulated through extended pre-digital clinical practice create a durable attitudinal orientation not easily reversed by passive exposure to digital systems.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If not confirmed: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challenges UTAUT’s assumption that individual experience is a reliable moderator, and instead suggests that organisational context — specifically the quality and continuity of digital skills training provided — may override the experience effect in settings where institutional support is strong.</w:t>
      </w:r>
      <w:r>
        <w:rPr>
          <w:rFonts w:ascii="Times New Roman" w:hAnsi="Times New Roman"/>
          <w:sz w:val="24"/>
        </w:rPr>
        <w:t xml:space="preserve">”</w:t>
      </w:r>
      <w:r>
        <w:rPr>
          <w:rFonts w:ascii="Times New Roman" w:hAnsi="Times New Roman"/>
          <w:sz w:val="24"/>
        </w:rPr>
        <w:t xml:space="preserve">]</w:t>
      </w:r>
    </w:p>
    <w:p>
      <w:pPr>
        <w:pStyle w:val="BodyText"/>
        <w:jc w:val="both"/>
        <w:spacing w:line="360" w:lineRule="auto"/>
      </w:pPr>
      <w:r>
        <w:rPr>
          <w:rFonts w:ascii="Times New Roman" w:hAnsi="Times New Roman"/>
          <w:sz w:val="24"/>
        </w:rPr>
        <w:t xml:space="preserve">With respect to Rogers’ Diffusion of Innovations theory, the distribution of digital tool use frequencies observed across the sample [DATA PENDING: describe shape of distribution — whether it resembles an S-curve, whether the majority fall in early/late majority categories, etc.] is [DATA PENDING: consistent with / divergent from] the diffusion model’s prediction of an S-shaped adoption curve. [DATA PENDING: 2 sentences on what this implies for Slovakia’s position in the eHealth adoption trajectory.]</w:t>
      </w:r>
    </w:p>
    <w:p>
      <w:pPr>
        <w:jc w:val="both"/>
        <w:spacing w:line="360" w:lineRule="auto"/>
      </w:pPr>
      <w:r>
        <w:rPr>
          <w:rFonts w:ascii="Times New Roman" w:hAnsi="Times New Roman"/>
          <w:sz w:val="24"/>
        </w:rPr>
        <w:pict>
          <v:rect style="width:0;height:1.5pt" o:hralign="center" o:hrstd="t" o:hr="t"/>
        </w:pict>
      </w:r>
    </w:p>
    <w:bookmarkEnd w:id="71"/>
    <w:bookmarkStart w:id="72" w:name="limitations"/>
    <w:p>
      <w:pPr>
        <w:pStyle w:val="Heading3"/>
        <w:jc w:val="left"/>
        <w:spacing w:line="360" w:lineRule="auto"/>
      </w:pPr>
      <w:r>
        <w:rPr>
          <w:rFonts w:ascii="Times New Roman" w:hAnsi="Times New Roman"/>
          <w:b/>
          <w:sz w:val="24"/>
        </w:rPr>
        <w:t xml:space="preserve">5.7 Limitations</w:t>
      </w:r>
    </w:p>
    <w:p>
      <w:pPr>
        <w:pStyle w:val="FirstParagraph"/>
        <w:jc w:val="both"/>
        <w:spacing w:line="360" w:lineRule="auto"/>
      </w:pPr>
      <w:r>
        <w:rPr>
          <w:rFonts w:ascii="Times New Roman" w:hAnsi="Times New Roman"/>
          <w:sz w:val="24"/>
        </w:rPr>
        <w:t xml:space="preserve">This study was conducted with methodological rigour appropriate to the master’s thesis level and to a first systematic empirical investigation in an underexplored national context. Nevertheless, several limitations must be acknowledged when interpreting the findings.</w:t>
      </w:r>
    </w:p>
    <w:p>
      <w:pPr>
        <w:pStyle w:val="BodyText"/>
        <w:jc w:val="both"/>
        <w:spacing w:line="360" w:lineRule="auto"/>
      </w:pPr>
      <w:r>
        <w:rPr>
          <w:rFonts w:ascii="Times New Roman" w:hAnsi="Times New Roman"/>
          <w:b/>
          <w:bCs/>
          <w:sz w:val="24"/>
        </w:rPr>
        <w:t xml:space="preserve">Sampling method.</w:t>
      </w:r>
      <w:r>
        <w:rPr>
          <w:rFonts w:ascii="Times New Roman" w:hAnsi="Times New Roman"/>
          <w:sz w:val="24"/>
        </w:rPr>
        <w:t xml:space="preserve"> </w:t>
      </w:r>
      <w:r>
        <w:rPr>
          <w:rFonts w:ascii="Times New Roman" w:hAnsi="Times New Roman"/>
          <w:sz w:val="24"/>
        </w:rPr>
        <w:t xml:space="preserve">The use of non-probability convenience sampling, with questionnaire distribution conducted through personal contacts at a limited number of healthcare facilities, means that the study sample cannot be considered representative of the Slovak nursing workforce as a whole. Healthcare facilities with higher digital infrastructure maturity, or with head nurses who were personally motivated to support research participation, may be systematically overrepresented. Findings should therefore be interpreted as descriptive of the participating sample rather than as national prevalence estimates. Future research should employ stratified probability sampling based on facility type, geographic region, and hospital EMRAM stage.</w:t>
      </w:r>
    </w:p>
    <w:p>
      <w:pPr>
        <w:pStyle w:val="BodyText"/>
        <w:jc w:val="both"/>
        <w:spacing w:line="360" w:lineRule="auto"/>
      </w:pPr>
      <w:r>
        <w:rPr>
          <w:rFonts w:ascii="Times New Roman" w:hAnsi="Times New Roman"/>
          <w:b/>
          <w:bCs/>
          <w:sz w:val="24"/>
        </w:rPr>
        <w:t xml:space="preserve">Self-report measurement.</w:t>
      </w:r>
      <w:r>
        <w:rPr>
          <w:rFonts w:ascii="Times New Roman" w:hAnsi="Times New Roman"/>
          <w:sz w:val="24"/>
        </w:rPr>
        <w:t xml:space="preserve"> </w:t>
      </w:r>
      <w:r>
        <w:rPr>
          <w:rFonts w:ascii="Times New Roman" w:hAnsi="Times New Roman"/>
          <w:sz w:val="24"/>
        </w:rPr>
        <w:t xml:space="preserve">All data, including the frequency of digital tool use and the self-rated efficiency assessment that together constitute the H1 variables, were obtained through self-report. Actual usage logs from facility information systems, which would provide objective frequency data independent of subjective recall bias, were not accessible within the parameters of this study. Social desirability bias — the tendency to report attitudes perceived as professionally appropriate — may have inflated positive efficiency ratings and attitudes toward digital tools, since digital literacy is increasingly valorised within the nursing profession. The anonymous questionnaire format mitigates but does not eliminate this risk.</w:t>
      </w:r>
    </w:p>
    <w:p>
      <w:pPr>
        <w:pStyle w:val="BodyText"/>
        <w:jc w:val="both"/>
        <w:spacing w:line="360" w:lineRule="auto"/>
      </w:pPr>
      <w:r>
        <w:rPr>
          <w:rFonts w:ascii="Times New Roman" w:hAnsi="Times New Roman"/>
          <w:b/>
          <w:bCs/>
          <w:sz w:val="24"/>
        </w:rPr>
        <w:t xml:space="preserve">Cross-sectional design.</w:t>
      </w:r>
      <w:r>
        <w:rPr>
          <w:rFonts w:ascii="Times New Roman" w:hAnsi="Times New Roman"/>
          <w:sz w:val="24"/>
        </w:rPr>
        <w:t xml:space="preserve"> </w:t>
      </w:r>
      <w:r>
        <w:rPr>
          <w:rFonts w:ascii="Times New Roman" w:hAnsi="Times New Roman"/>
          <w:sz w:val="24"/>
        </w:rPr>
        <w:t xml:space="preserve">The cross-sectional nature of the survey captures a single temporal snapshot and cannot establish the direction or temporal ordering of observed associations. H1 tests the co-variation of usage frequency and efficiency rating, but whether higher frequency causes more positive efficiency appraisal (through habituation), or more positive efficiency appraisal motivates higher frequency (through voluntary adoption), or both are products of a common third variable such as institutional training quality, cannot be determined from the present data.</w:t>
      </w:r>
    </w:p>
    <w:p>
      <w:pPr>
        <w:pStyle w:val="BodyText"/>
        <w:jc w:val="both"/>
        <w:spacing w:line="360" w:lineRule="auto"/>
      </w:pPr>
      <w:r>
        <w:rPr>
          <w:rFonts w:ascii="Times New Roman" w:hAnsi="Times New Roman"/>
          <w:b/>
          <w:bCs/>
          <w:sz w:val="24"/>
        </w:rPr>
        <w:t xml:space="preserve">Non-standardised instrument.</w:t>
      </w:r>
      <w:r>
        <w:rPr>
          <w:rFonts w:ascii="Times New Roman" w:hAnsi="Times New Roman"/>
          <w:sz w:val="24"/>
        </w:rPr>
        <w:t xml:space="preserve"> </w:t>
      </w:r>
      <w:r>
        <w:rPr>
          <w:rFonts w:ascii="Times New Roman" w:hAnsi="Times New Roman"/>
          <w:sz w:val="24"/>
        </w:rPr>
        <w:t xml:space="preserve">The self-constructed questionnaire has not been subjected to the full battery of psychometric validation procedures — including confirmatory factor analysis, criterion validity assessment against an established gold-standard measure, and test-retest reliability evaluation — that would be required for a fully validated instrument. Cronbach’s alpha values [DATA PENDING: confirm whether thresholds were met] provide an initial indicator of internal consistency, but the absence of formal construct validation is a recognised limitation of novel questionnaire instruments at the master’s thesis level.</w:t>
      </w:r>
    </w:p>
    <w:p>
      <w:pPr>
        <w:pStyle w:val="BodyText"/>
        <w:jc w:val="both"/>
        <w:spacing w:line="360" w:lineRule="auto"/>
      </w:pPr>
      <w:r>
        <w:rPr>
          <w:rFonts w:ascii="Times New Roman" w:hAnsi="Times New Roman"/>
          <w:b/>
          <w:bCs/>
          <w:sz w:val="24"/>
        </w:rPr>
        <w:t xml:space="preserve">Geographic and institutional scope.</w:t>
      </w:r>
      <w:r>
        <w:rPr>
          <w:rFonts w:ascii="Times New Roman" w:hAnsi="Times New Roman"/>
          <w:sz w:val="24"/>
        </w:rPr>
        <w:t xml:space="preserve"> </w:t>
      </w:r>
      <w:r>
        <w:rPr>
          <w:rFonts w:ascii="Times New Roman" w:hAnsi="Times New Roman"/>
          <w:sz w:val="24"/>
        </w:rPr>
        <w:t xml:space="preserve">Data collection was concentrated in [DATA PENDING: number and type of facilities, geographic regions]. The absence of a national probability sample means that regional variation in healthcare IT infrastructure — particularly the differential between urban university hospitals with advanced EMRAM maturity and rural community hospitals with more limited digital infrastructure — may not be proportionally represented.</w:t>
      </w:r>
    </w:p>
    <w:p>
      <w:pPr>
        <w:pStyle w:val="BodyText"/>
        <w:jc w:val="both"/>
        <w:spacing w:line="360" w:lineRule="auto"/>
      </w:pPr>
      <w:r>
        <w:rPr>
          <w:rFonts w:ascii="Times New Roman" w:hAnsi="Times New Roman"/>
          <w:b/>
          <w:bCs/>
          <w:sz w:val="24"/>
        </w:rPr>
        <w:t xml:space="preserve">Exclusion of EHR non-users from H4 analysis.</w:t>
      </w:r>
      <w:r>
        <w:rPr>
          <w:rFonts w:ascii="Times New Roman" w:hAnsi="Times New Roman"/>
          <w:sz w:val="24"/>
        </w:rPr>
        <w:t xml:space="preserve"> </w:t>
      </w:r>
      <w:r>
        <w:rPr>
          <w:rFonts w:ascii="Times New Roman" w:hAnsi="Times New Roman"/>
          <w:sz w:val="24"/>
        </w:rPr>
        <w:t xml:space="preserve">[DATA PENDING: Note if any respondents were excluded from H4 testing because they reported never using EHR — if applicable, note the proportion and the impact on the generalisability of the H4 finding.]</w:t>
      </w:r>
    </w:p>
    <w:p>
      <w:pPr>
        <w:jc w:val="both"/>
        <w:spacing w:line="360" w:lineRule="auto"/>
      </w:pPr>
      <w:r>
        <w:rPr>
          <w:rFonts w:ascii="Times New Roman" w:hAnsi="Times New Roman"/>
          <w:sz w:val="24"/>
        </w:rPr>
        <w:pict>
          <v:rect style="width:0;height:1.5pt" o:hralign="center" o:hrstd="t" o:hr="t"/>
        </w:pict>
      </w:r>
    </w:p>
    <w:bookmarkEnd w:id="72"/>
    <w:bookmarkStart w:id="73" w:name="recommendations-for-practice"/>
    <w:p>
      <w:pPr>
        <w:pStyle w:val="Heading3"/>
        <w:jc w:val="left"/>
        <w:spacing w:line="360" w:lineRule="auto"/>
      </w:pPr>
      <w:r>
        <w:rPr>
          <w:rFonts w:ascii="Times New Roman" w:hAnsi="Times New Roman"/>
          <w:b/>
          <w:sz w:val="24"/>
        </w:rPr>
        <w:t xml:space="preserve">5.8 Recommendations for Practice</w:t>
      </w:r>
    </w:p>
    <w:p>
      <w:pPr>
        <w:pStyle w:val="FirstParagraph"/>
        <w:jc w:val="both"/>
        <w:spacing w:line="360" w:lineRule="auto"/>
      </w:pPr>
      <w:r>
        <w:rPr>
          <w:rFonts w:ascii="Times New Roman" w:hAnsi="Times New Roman"/>
          <w:sz w:val="24"/>
        </w:rPr>
        <w:t xml:space="preserve">The findings of this study, interpreted within the context of the theoretical framework and the international evidence base, support the following four concrete recommendations for nursing practice, nursing education, and healthcare administration in Slovakia.</w:t>
      </w:r>
    </w:p>
    <w:p>
      <w:pPr>
        <w:pStyle w:val="BodyText"/>
        <w:jc w:val="both"/>
        <w:spacing w:line="360" w:lineRule="auto"/>
      </w:pPr>
      <w:r>
        <w:rPr>
          <w:rFonts w:ascii="Times New Roman" w:hAnsi="Times New Roman"/>
          <w:b/>
          <w:bCs/>
          <w:sz w:val="24"/>
        </w:rPr>
        <w:t xml:space="preserve">Recommendation 1: Implement structured, role-specific digital competency programmes as a mandatory component of continuing professional development for nurses.</w:t>
      </w:r>
    </w:p>
    <w:p>
      <w:pPr>
        <w:pStyle w:val="BodyText"/>
        <w:jc w:val="both"/>
        <w:spacing w:line="360" w:lineRule="auto"/>
      </w:pPr>
      <w:r>
        <w:rPr>
          <w:rFonts w:ascii="Times New Roman" w:hAnsi="Times New Roman"/>
          <w:sz w:val="24"/>
        </w:rPr>
        <w:t xml:space="preserve">The international literature consistently identifies training adequacy as the primary modifiable determinant of nurses’ positive technology attitudes and efficient digital tool use (Walzer et al., 2025; Jacques et al., 2025; Campione &amp; Liu, 2024). In the Slovak context, where the eHealth Act mandates EHR use but does not specify minimum informatics competency standards for nursing staff, a competency gap between regulatory expectation and workforce capability persists. Healthcare facilities should adopt a competency-based digital skills framework — such as the TIGER framework as adapted for the European context, or the DigComp 2.2 proficiency structure — and provide differentiated training pathways based on nurses’ baseline digital literacy, qualification level, and clinical role. Continuing education credits for digital skills training would incentivise engagement and create a professional development record analogous to clinical competency maintenance requirements.</w:t>
      </w:r>
    </w:p>
    <w:p>
      <w:pPr>
        <w:pStyle w:val="BodyText"/>
        <w:jc w:val="both"/>
        <w:spacing w:line="360" w:lineRule="auto"/>
      </w:pPr>
      <w:r>
        <w:rPr>
          <w:rFonts w:ascii="Times New Roman" w:hAnsi="Times New Roman"/>
          <w:b/>
          <w:bCs/>
          <w:sz w:val="24"/>
        </w:rPr>
        <w:t xml:space="preserve">Recommendation 2: Develop targeted digital retraining programmes for nurses with ten or more years of clinical experience, using peer-mentoring models.</w:t>
      </w:r>
    </w:p>
    <w:p>
      <w:pPr>
        <w:pStyle w:val="BodyText"/>
        <w:jc w:val="both"/>
        <w:spacing w:line="360" w:lineRule="auto"/>
      </w:pPr>
      <w:r>
        <w:rPr>
          <w:rFonts w:ascii="Times New Roman" w:hAnsi="Times New Roman"/>
          <w:sz w:val="24"/>
        </w:rPr>
        <w:t xml:space="preserve">[DATA PENDING: Adjust framing depending on whether H3 was confirmed or not.] The literature identifies experienced nurses — particularly those trained before digital documentation became standard in their clinical environment — as the subgroup most likely to hold neutral or negative attitudes toward digital technologies, and least likely to self-initiate digital skills development (De Leeuw, Woltjer &amp; Kool, 2020; Mabaso, Mokonyama &amp; Mitonga-Monga, 2025). Reverse mentoring programmes, in which digitally proficient junior nurses are formally paired with senior colleagues to share informatics skills while receiving clinical wisdom in return, have demonstrated effectiveness in reducing this generational competency gap with minimal institutional cost (Madhavanprabhakaran, Francis &amp; Labrague, 2022; Robertson &amp; Ferguson, 2025). Healthcare facilities should formalise these arrangements within ward rotation structures, providing protected time for mentoring sessions and recognising both mentors and mentees in professional development records.</w:t>
      </w:r>
    </w:p>
    <w:p>
      <w:pPr>
        <w:pStyle w:val="BodyText"/>
        <w:jc w:val="both"/>
        <w:spacing w:line="360" w:lineRule="auto"/>
      </w:pPr>
      <w:r>
        <w:rPr>
          <w:rFonts w:ascii="Times New Roman" w:hAnsi="Times New Roman"/>
          <w:b/>
          <w:bCs/>
          <w:sz w:val="24"/>
        </w:rPr>
        <w:t xml:space="preserve">Recommendation 3: Prioritise EHR usability improvements and dual-documentation burden reduction in healthcare facility IT governance.</w:t>
      </w:r>
    </w:p>
    <w:p>
      <w:pPr>
        <w:pStyle w:val="BodyText"/>
        <w:jc w:val="both"/>
        <w:spacing w:line="360" w:lineRule="auto"/>
      </w:pPr>
      <w:r>
        <w:rPr>
          <w:rFonts w:ascii="Times New Roman" w:hAnsi="Times New Roman"/>
          <w:sz w:val="24"/>
        </w:rPr>
        <w:t xml:space="preserve">The proportion of nurses who assessed EHR as [DATA PENDING: not beneficial / ambivalently beneficial] in this study reflects, at least in part, the usability and integration limitations of current EHR deployments rather than objectively poor safety outcomes. International evidence demonstrates that EHR redesign focused on reducing redundant documentation tasks, minimising alert fatigue, and eliminating paper shadow-record workarounds directly increases nursing satisfaction with and perceived benefit from digital systems (Jacques et al., 2025; Volkan et al., 2024). The eZdravie infrastructure should be extended to eliminate dual documentation requirements currently mandating both paper and electronic records in facilities at intermediate EMRAM stages. Healthcare facility IT committees should include frontline nurse representatives in procurement, configuration, and upgrade decisions, to ensure that interface design reflects actual nursing workflow needs rather than administrative or physician-centric documentation frameworks.</w:t>
      </w:r>
    </w:p>
    <w:p>
      <w:pPr>
        <w:pStyle w:val="BodyText"/>
        <w:jc w:val="both"/>
        <w:spacing w:line="360" w:lineRule="auto"/>
      </w:pPr>
      <w:r>
        <w:rPr>
          <w:rFonts w:ascii="Times New Roman" w:hAnsi="Times New Roman"/>
          <w:b/>
          <w:bCs/>
          <w:sz w:val="24"/>
        </w:rPr>
        <w:t xml:space="preserve">Recommendation 4: Embed nursing informatics competencies across all levels of nursing education, with explicit alignment to the TIGER and DigComp frameworks.</w:t>
      </w:r>
    </w:p>
    <w:p>
      <w:pPr>
        <w:pStyle w:val="BodyText"/>
        <w:jc w:val="both"/>
        <w:spacing w:line="360" w:lineRule="auto"/>
      </w:pPr>
      <w:r>
        <w:rPr>
          <w:rFonts w:ascii="Times New Roman" w:hAnsi="Times New Roman"/>
          <w:sz w:val="24"/>
        </w:rPr>
        <w:t xml:space="preserve">The observed association between educational qualification level and frequency of digital tool use — [DATA PENDING: confirmed / observed directionally even if non-significant] — indicates that formal education is a meaningful channel through which digital competency is acquired and sustained. Nursing curricula at secondary vocational level should include structured modules on EHR navigation, electronic documentation standards, and basic health informatics. Bachelor’s-level programmes should develop information literacy and clinical data interpretation competencies. Master’s-level programmes — including the programme from which this thesis emerges — should prepare graduates for digital leadership roles, including competency assessment, staff training design, and participation in healthcare IT governance. Alignment of Slovak nursing curricula with the TIGER competency framework and the EU DigComp 2.2 proficiency levels would position the Slovak nursing workforce for the digital interoperability requirements mandated by Regulation (EU) 2025/327 by March 2029.</w:t>
      </w:r>
    </w:p>
    <w:p>
      <w:pPr>
        <w:jc w:val="both"/>
        <w:spacing w:line="360" w:lineRule="auto"/>
      </w:pPr>
      <w:r>
        <w:rPr>
          <w:rFonts w:ascii="Times New Roman" w:hAnsi="Times New Roman"/>
          <w:sz w:val="24"/>
        </w:rPr>
        <w:pict>
          <v:rect style="width:0;height:1.5pt" o:hralign="center" o:hrstd="t" o:hr="t"/>
        </w:pict>
      </w:r>
    </w:p>
    <w:bookmarkEnd w:id="73"/>
    <w:bookmarkEnd w:id="74"/>
    <w:bookmarkStart w:id="75" w:name="chapter-6-conclusion"/>
    <w:p>
      <w:pPr>
        <w:pStyle w:val="Heading2"/>
        <w:jc w:val="left"/>
        <w:spacing w:line="360" w:lineRule="auto"/>
      </w:pPr>
      <w:r>
        <w:rPr>
          <w:rFonts w:ascii="Times New Roman" w:hAnsi="Times New Roman"/>
          <w:b/>
          <w:sz w:val="24"/>
        </w:rPr>
        <w:t xml:space="preserve">Chapter 6: Conclusion</w:t>
      </w:r>
    </w:p>
    <w:p>
      <w:pPr>
        <w:pStyle w:val="FirstParagraph"/>
        <w:jc w:val="both"/>
        <w:spacing w:line="360" w:lineRule="auto"/>
      </w:pPr>
      <w:r>
        <w:rPr>
          <w:rFonts w:ascii="Times New Roman" w:hAnsi="Times New Roman"/>
          <w:sz w:val="24"/>
        </w:rPr>
        <w:t xml:space="preserve">The present study addressed a genuine and consequential gap in the empirical literature on nursing practice in Slovakia by conducting the first systematic quantitative survey of digital technology use, technology attitudes, and perceived quality impact among clinical nurses in Slovak inpatient and outpatient healthcare settings. The principal research goal — to analyse the use of modern technologies and digital tools in nursing practice in Slovakia, with a focus on frequency of use, perceived efficiency impact, and the relationship between nurses’ professional characteristics and their technology-related attitudes — was pursued through a cross-sectional self-administered questionnaire survey of [DATA PENDING: n] nurses, applying descriptive and inferential statistical methods including the Pearson Chi-square test of independence and the one-sample z-test for proportions.</w:t>
      </w:r>
    </w:p>
    <w:p>
      <w:pPr>
        <w:pStyle w:val="BodyText"/>
        <w:jc w:val="both"/>
        <w:spacing w:line="360" w:lineRule="auto"/>
      </w:pPr>
      <w:r>
        <w:rPr>
          <w:rFonts w:ascii="Times New Roman" w:hAnsi="Times New Roman"/>
          <w:sz w:val="24"/>
        </w:rPr>
        <w:t xml:space="preserve">With respect to the five partial research goals, the study found the following. First, the most widely used digital tools in the sample were [DATA PENDING: top three tools by frequency], with [DATA PENDING: proportion]% of respondents reporting daily or more frequent overall digital tool use. Second, [DATA PENDING: proportion]% of nurses assessed digital tools as somewhat or markedly increasing their personal work efficiency, indicating a generally positive efficiency perception in the majority of the sample. Third, the association between frequency of digital tool use and self-rated work efficiency [DATA PENDING: was / was not] statistically significant (H1: [DATA PENDING: confirmed / not confirmed]). Fourth, the comparison of technology use frequency between education groups [DATA PENDING: revealed / did not reveal] a statistically significant difference in favour of higher-educated nurses (H2: [DATA PENDING: confirmed / not confirmed]). Fifth, the proportion of nurses rating EHR as contributing to improved patient care quality and safety [DATA PENDING: exceeded / did not exceed] the 50% threshold (H4: [DATA PENDING: confirmed / not confirmed]).</w:t>
      </w:r>
    </w:p>
    <w:p>
      <w:pPr>
        <w:pStyle w:val="BodyText"/>
        <w:jc w:val="both"/>
        <w:spacing w:line="360" w:lineRule="auto"/>
      </w:pPr>
      <w:r>
        <w:rPr>
          <w:rFonts w:ascii="Times New Roman" w:hAnsi="Times New Roman"/>
          <w:sz w:val="24"/>
        </w:rPr>
        <w:t xml:space="preserve">The study’s contributions to the scholarly literature are threefold. First, it provides the first nationally grounded descriptive data on digital tool use frequency, tool type distribution, and EHR quality perceptions in Slovak clinical nursing — data that can serve as a baseline against which future surveys can measure change as the eZdravie infrastructure matures and as digital competency requirements evolve under EU Health Data Space regulation. Second, it applies and partially tests the theoretical predictions of TAM, UTAUT, and Diffusion of Innovations theory in a Slovak nursing population, contributing to the international evidence base for these frameworks in a Central European context that has been underrepresented in the published literature. Third, it identifies concrete, evidence-based directions for intervention at the levels of nursing education, continuing professional development, healthcare facility IT governance, and national health informatics policy.</w:t>
      </w:r>
    </w:p>
    <w:p>
      <w:pPr>
        <w:pStyle w:val="BodyText"/>
        <w:jc w:val="both"/>
        <w:spacing w:line="360" w:lineRule="auto"/>
      </w:pPr>
      <w:r>
        <w:rPr>
          <w:rFonts w:ascii="Times New Roman" w:hAnsi="Times New Roman"/>
          <w:sz w:val="24"/>
        </w:rPr>
        <w:t xml:space="preserve">The limitations of the study — particularly the convenience sampling strategy, the cross-sectional design, and the non-standardised instrument — constrain the generalisability of findings and preclude causal inference. Future research in this domain should employ probability sampling across multiple Slovak regions, a validated and psychometrically characterised questionnaire instrument adapted for the Slovak nursing context, and a longitudinal follow-up design capable of tracking changes in digital adoption, attitudes, and quality perceptions as eZdravie implementation matures across healthcare facilities. Mixed-methods designs incorporating qualitative interview data would enrich understanding of the mechanisms underlying the quantitative associations observed in this study, particularly the contextual conditions under which the experience-based attitudinal gradient is attenuated or reversed by institutional support.</w:t>
      </w:r>
    </w:p>
    <w:p>
      <w:pPr>
        <w:pStyle w:val="BodyText"/>
        <w:jc w:val="both"/>
        <w:spacing w:line="360" w:lineRule="auto"/>
      </w:pPr>
      <w:r>
        <w:rPr>
          <w:rFonts w:ascii="Times New Roman" w:hAnsi="Times New Roman"/>
          <w:sz w:val="24"/>
        </w:rPr>
        <w:t xml:space="preserve">Digital transformation of healthcare is not a background trend but the immediate structural reality in which Slovak nurses practice. The adequacy of that practice — its safety, its efficiency, and its quality — will depend increasingly on nurses’ capacity to engage competently and confidently with the digital tools that mediate their clinical work. This study is offered as an empirical contribution to the evidence base on which that capacity can be systematically built.</w:t>
      </w:r>
    </w:p>
    <w:bookmarkEnd w:id="75"/>
    <w:bookmarkEnd w:id="76"/>
    <w:sectPr>
      <w:pgMar w:top="1417" w:bottom="1417" w:left="1984"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2026-06-27T12:18:32Z</dcterms:created>
  <dcterms:modified xsi:type="dcterms:W3CDTF">2026-06-27T12:18:32Z</dcterms:modified>
</cp:coreProperties>
</file>

<file path=docProps/custom.xml><?xml version="1.0" encoding="utf-8"?>
<Properties xmlns="http://schemas.openxmlformats.org/officeDocument/2006/custom-properties" xmlns:vt="http://schemas.openxmlformats.org/officeDocument/2006/docPropsVTypes"/>
</file>