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29.jpg" ContentType="image/jpeg"/>
  <Override PartName="/word/media/rId33.jpg" ContentType="image/jpeg"/>
  <Override PartName="/word/media/rId37.jpg" ContentType="image/jpeg"/>
  <Override PartName="/word/media/rId92.png" ContentType="image/png"/>
  <Override PartName="/word/media/rId96.png" ContentType="image/png"/>
  <Override PartName="/word/media/rId68.jpg" ContentType="image/jpeg"/>
  <Override PartName="/word/media/rId72.jpg" ContentType="image/jpeg"/>
  <Override PartName="/word/media/rId57.png" ContentType="image/png"/>
  <Override PartName="/word/media/rId64.jpg" ContentType="image/jpeg"/>
  <Override PartName="/word/media/rId5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Part</w:t>
      </w:r>
      <w:r>
        <w:t xml:space="preserve"> </w:t>
      </w:r>
      <w:r>
        <w:t xml:space="preserve">3:</w:t>
      </w:r>
      <w:r>
        <w:t xml:space="preserve"> </w:t>
      </w:r>
      <w:r>
        <w:t xml:space="preserve">DIF</w:t>
      </w:r>
      <w:r>
        <w:t xml:space="preserve"> </w:t>
      </w:r>
      <w:r>
        <w:t xml:space="preserve">via</w:t>
      </w:r>
      <w:r>
        <w:t xml:space="preserve"> </w:t>
      </w:r>
      <w:r>
        <w:t xml:space="preserve">Robust</w:t>
      </w:r>
      <w:r>
        <w:t xml:space="preserve"> </w:t>
      </w:r>
      <w:r>
        <w:t xml:space="preserve">Scaling</w:t>
      </w:r>
    </w:p>
    <w:p>
      <w:pPr>
        <w:pStyle w:val="Author"/>
      </w:pPr>
      <w:r>
        <w:t xml:space="preserve">Peter</w:t>
      </w:r>
      <w:r>
        <w:t xml:space="preserve"> </w:t>
      </w:r>
      <w:r>
        <w:t xml:space="preserve">F.</w:t>
      </w:r>
      <w:r>
        <w:t xml:space="preserve"> </w:t>
      </w:r>
      <w:r>
        <w:t xml:space="preserve">Halpin</w:t>
      </w:r>
    </w:p>
    <w:bookmarkStart w:id="20" w:name="overview-of-workshop"/>
    <w:p>
      <w:pPr>
        <w:pStyle w:val="Heading2"/>
      </w:pPr>
      <w:r>
        <w:t xml:space="preserve">Overview of Workshop</w:t>
      </w:r>
    </w:p>
    <w:p>
      <w:pPr>
        <w:numPr>
          <w:ilvl w:val="0"/>
          <w:numId w:val="1001"/>
        </w:numPr>
        <w:pStyle w:val="Compact"/>
      </w:pPr>
      <w:r>
        <w:t xml:space="preserve">Part 1. Intro + factor analysis + MI</w:t>
      </w:r>
    </w:p>
    <w:p>
      <w:pPr>
        <w:numPr>
          <w:ilvl w:val="0"/>
          <w:numId w:val="1001"/>
        </w:numPr>
        <w:pStyle w:val="Compact"/>
      </w:pPr>
      <w:r>
        <w:t xml:space="preserve">Part 2. IRT + DIF</w:t>
      </w:r>
    </w:p>
    <w:p>
      <w:pPr>
        <w:numPr>
          <w:ilvl w:val="0"/>
          <w:numId w:val="1001"/>
        </w:numPr>
        <w:pStyle w:val="Compact"/>
      </w:pPr>
      <w:r>
        <w:t xml:space="preserve">Part 3. Robust scaling + DIF + DTF</w:t>
      </w:r>
      <w:r>
        <w:t xml:space="preserve"> </w:t>
      </w:r>
      <w:r>
        <w:t xml:space="preserve">${\color{green}\leftarrow}$</w:t>
      </w:r>
    </w:p>
    <w:bookmarkEnd w:id="20"/>
    <w:bookmarkStart w:id="21" w:name="overview-of-part-2"/>
    <w:p>
      <w:pPr>
        <w:pStyle w:val="Heading2"/>
      </w:pPr>
      <w:r>
        <w:t xml:space="preserve">Overview of Part 2</w:t>
      </w:r>
    </w:p>
    <w:p>
      <w:pPr>
        <w:numPr>
          <w:ilvl w:val="0"/>
          <w:numId w:val="1002"/>
        </w:numPr>
        <w:pStyle w:val="Compact"/>
      </w:pPr>
      <w:r>
        <w:t xml:space="preserve">IRT-based scaling and its relation to DIF</w:t>
      </w:r>
    </w:p>
    <w:p>
      <w:pPr>
        <w:numPr>
          <w:ilvl w:val="0"/>
          <w:numId w:val="1002"/>
        </w:numPr>
        <w:pStyle w:val="Compact"/>
      </w:pPr>
      <w:r>
        <w:t xml:space="preserve">Robust scaling</w:t>
      </w:r>
    </w:p>
    <w:p>
      <w:pPr>
        <w:numPr>
          <w:ilvl w:val="0"/>
          <w:numId w:val="1002"/>
        </w:numPr>
        <w:pStyle w:val="Compact"/>
      </w:pPr>
      <w:r>
        <w:t xml:space="preserve">Tests of DIF based on robust scaling</w:t>
      </w:r>
    </w:p>
    <w:p>
      <w:pPr>
        <w:numPr>
          <w:ilvl w:val="0"/>
          <w:numId w:val="1002"/>
        </w:numPr>
        <w:pStyle w:val="Compact"/>
      </w:pPr>
      <w:r>
        <w:t xml:space="preserve">Tests of DTF (impact) based on robust scaling</w:t>
      </w:r>
    </w:p>
    <w:p>
      <w:pPr>
        <w:numPr>
          <w:ilvl w:val="0"/>
          <w:numId w:val="1002"/>
        </w:numPr>
        <w:pStyle w:val="Compact"/>
      </w:pPr>
      <w:r>
        <w:t xml:space="preserve">Worked example</w:t>
      </w:r>
    </w:p>
    <w:bookmarkEnd w:id="21"/>
    <w:bookmarkStart w:id="23" w:name="organization"/>
    <w:p>
      <w:pPr>
        <w:pStyle w:val="Heading2"/>
      </w:pPr>
      <w:r>
        <w:t xml:space="preserve">Organization</w:t>
      </w:r>
    </w:p>
    <w:p>
      <w:pPr>
        <w:numPr>
          <w:ilvl w:val="0"/>
          <w:numId w:val="1003"/>
        </w:numPr>
      </w:pPr>
      <w:r>
        <w:t xml:space="preserve">Website:</w:t>
      </w:r>
      <w:r>
        <w:t xml:space="preserve"> </w:t>
      </w:r>
      <w:hyperlink r:id="rId22">
        <w:r>
          <w:rPr>
            <w:rStyle w:val="Hyperlink"/>
          </w:rPr>
          <w:t xml:space="preserve">peterhalpin.github.io/RDIF-workshop/</w:t>
        </w:r>
      </w:hyperlink>
    </w:p>
    <w:p>
      <w:pPr>
        <w:numPr>
          <w:ilvl w:val="0"/>
          <w:numId w:val="1003"/>
        </w:numPr>
      </w:pPr>
      <w:r>
        <w:t xml:space="preserve">Slides: These slides in HTML format</w:t>
      </w:r>
    </w:p>
    <w:p>
      <w:pPr>
        <w:numPr>
          <w:ilvl w:val="0"/>
          <w:numId w:val="1003"/>
        </w:numPr>
      </w:pPr>
      <w:r>
        <w:t xml:space="preserve">Notes: These slides DOCX format (translated, editable)</w:t>
      </w:r>
    </w:p>
    <w:p>
      <w:pPr>
        <w:numPr>
          <w:ilvl w:val="0"/>
          <w:numId w:val="1003"/>
        </w:numPr>
      </w:pPr>
      <w:r>
        <w:t xml:space="preserve">Code: Just the code from these slides</w:t>
      </w:r>
    </w:p>
    <w:bookmarkEnd w:id="23"/>
    <w:bookmarkStart w:id="49" w:name="scaling-and-its-relation-to-dif"/>
    <w:p>
      <w:pPr>
        <w:pStyle w:val="Heading1"/>
      </w:pPr>
      <w:r>
        <w:t xml:space="preserve">Scaling and its Relation to DIF</w:t>
      </w:r>
    </w:p>
    <w:bookmarkStart w:id="24" w:name="review-shortcomings-of-dif-analysis"/>
    <w:p>
      <w:pPr>
        <w:pStyle w:val="Heading2"/>
      </w:pPr>
      <w:r>
        <w:t xml:space="preserve">Review: Shortcomings of DIF analysis</w:t>
      </w:r>
    </w:p>
    <w:p>
      <w:pPr>
        <w:numPr>
          <w:ilvl w:val="0"/>
          <w:numId w:val="1004"/>
        </w:numPr>
        <w:pStyle w:val="Compact"/>
      </w:pPr>
      <w:r>
        <w:t xml:space="preserve">“</w:t>
      </w:r>
      <w:r>
        <w:t xml:space="preserve">Anchor items</w:t>
      </w:r>
      <w:r>
        <w:t xml:space="preserve">”</w:t>
      </w:r>
    </w:p>
    <w:p>
      <w:pPr>
        <w:numPr>
          <w:ilvl w:val="1"/>
          <w:numId w:val="1005"/>
        </w:numPr>
        <w:pStyle w:val="Compact"/>
      </w:pPr>
      <w:r>
        <w:t xml:space="preserve">To test if one item has DIF, we have to assume some other items do not have DIF</w:t>
      </w:r>
    </w:p>
    <w:p>
      <w:pPr>
        <w:numPr>
          <w:ilvl w:val="0"/>
          <w:numId w:val="1004"/>
        </w:numPr>
        <w:pStyle w:val="Compact"/>
      </w:pPr>
      <w:r>
        <w:t xml:space="preserve">Anchors are required to estimate impact, otherwise tests of DIF are confounded by impact</w:t>
      </w:r>
    </w:p>
    <w:p>
      <w:pPr>
        <w:numPr>
          <w:ilvl w:val="1"/>
          <w:numId w:val="1006"/>
        </w:numPr>
        <w:pStyle w:val="Compact"/>
      </w:pPr>
      <w:r>
        <w:t xml:space="preserve">Estimating impact also called</w:t>
      </w:r>
      <w:r>
        <w:t xml:space="preserve"> </w:t>
      </w:r>
      <w:r>
        <w:t xml:space="preserve">“</w:t>
      </w:r>
      <w:r>
        <w:t xml:space="preserve">scaling</w:t>
      </w:r>
      <w:r>
        <w:t xml:space="preserve">”</w:t>
      </w:r>
      <w:r>
        <w:t xml:space="preserve"> </w:t>
      </w:r>
      <w:r>
        <w:t xml:space="preserve">– more on this today</w:t>
      </w:r>
    </w:p>
    <w:p>
      <w:pPr>
        <w:numPr>
          <w:ilvl w:val="0"/>
          <w:numId w:val="1004"/>
        </w:numPr>
        <w:pStyle w:val="Compact"/>
      </w:pPr>
      <w:r>
        <w:t xml:space="preserve">Logical circularity: If we could figure out which items were anchors, we could use that same approach on the rest of the items, too!!</w:t>
      </w:r>
    </w:p>
    <w:bookmarkEnd w:id="24"/>
    <w:bookmarkStart w:id="28" w:name="dif-and-scaling"/>
    <w:p>
      <w:pPr>
        <w:pStyle w:val="Heading2"/>
      </w:pPr>
      <w:r>
        <w:t xml:space="preserve">DIF and scaling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00562"/>
                  <wp:effectExtent b="0" l="0" r="0" t="0"/>
                  <wp:docPr descr="" title="" id="26" name="Picture"/>
                  <a:graphic>
                    <a:graphicData uri="http://schemas.openxmlformats.org/drawingml/2006/picture">
                      <pic:pic>
                        <pic:nvPicPr>
                          <pic:cNvPr descr="DIF1.jpg" id="27" name="Picture"/>
                          <pic:cNvPicPr>
                            <a:picLocks noChangeArrowheads="1" noChangeAspect="1"/>
                          </pic:cNvPicPr>
                        </pic:nvPicPr>
                        <pic:blipFill>
                          <a:blip r:embed="rId25"/>
                          <a:stretch>
                            <a:fillRect/>
                          </a:stretch>
                        </pic:blipFill>
                        <pic:spPr bwMode="auto">
                          <a:xfrm>
                            <a:off x="0" y="0"/>
                            <a:ext cx="5334000" cy="3000562"/>
                          </a:xfrm>
                          <a:prstGeom prst="rect">
                            <a:avLst/>
                          </a:prstGeom>
                          <a:noFill/>
                          <a:ln w="9525">
                            <a:noFill/>
                            <a:headEnd/>
                            <a:tailEnd/>
                          </a:ln>
                        </pic:spPr>
                      </pic:pic>
                    </a:graphicData>
                  </a:graphic>
                </wp:inline>
              </w:drawing>
            </w:r>
          </w:p>
          <w:p>
            <w:pPr>
              <w:jc w:val="center"/>
            </w:pPr>
            <w:pPr>
              <w:jc w:val="start"/>
              <w:spacing w:before="200"/>
              <w:pStyle w:val="ImageCaption"/>
            </w:pPr>
          </w:p>
        </w:tc>
      </w:tr>
    </w:tbl>
    <w:p>
      <w:pPr>
        <w:numPr>
          <w:ilvl w:val="0"/>
          <w:numId w:val="1007"/>
        </w:numPr>
        <w:pStyle w:val="Compact"/>
      </w:pPr>
      <w:r>
        <w:t xml:space="preserve">Goal of DIF: compare items over groups</w:t>
      </w:r>
    </w:p>
    <w:p>
      <w:pPr>
        <w:numPr>
          <w:ilvl w:val="0"/>
          <w:numId w:val="1007"/>
        </w:numPr>
        <w:pStyle w:val="Compact"/>
      </w:pPr>
      <w:r>
        <w:t xml:space="preserve">Requirement for DIF analysis: multigroup scaling / estimating impact</w:t>
      </w:r>
    </w:p>
    <w:bookmarkEnd w:id="28"/>
    <w:bookmarkStart w:id="32" w:name="dif-and-scaling-1"/>
    <w:p>
      <w:pPr>
        <w:pStyle w:val="Heading2"/>
      </w:pPr>
      <w:r>
        <w:t xml:space="preserve">DIF and scaling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00562"/>
                  <wp:effectExtent b="0" l="0" r="0" t="0"/>
                  <wp:docPr descr="" title="" id="30" name="Picture"/>
                  <a:graphic>
                    <a:graphicData uri="http://schemas.openxmlformats.org/drawingml/2006/picture">
                      <pic:pic>
                        <pic:nvPicPr>
                          <pic:cNvPr descr="DIF2.jpg" id="31" name="Picture"/>
                          <pic:cNvPicPr>
                            <a:picLocks noChangeArrowheads="1" noChangeAspect="1"/>
                          </pic:cNvPicPr>
                        </pic:nvPicPr>
                        <pic:blipFill>
                          <a:blip r:embed="rId29"/>
                          <a:stretch>
                            <a:fillRect/>
                          </a:stretch>
                        </pic:blipFill>
                        <pic:spPr bwMode="auto">
                          <a:xfrm>
                            <a:off x="0" y="0"/>
                            <a:ext cx="5334000" cy="3000562"/>
                          </a:xfrm>
                          <a:prstGeom prst="rect">
                            <a:avLst/>
                          </a:prstGeom>
                          <a:noFill/>
                          <a:ln w="9525">
                            <a:noFill/>
                            <a:headEnd/>
                            <a:tailEnd/>
                          </a:ln>
                        </pic:spPr>
                      </pic:pic>
                    </a:graphicData>
                  </a:graphic>
                </wp:inline>
              </w:drawing>
            </w:r>
          </w:p>
          <w:p>
            <w:pPr>
              <w:jc w:val="center"/>
            </w:pPr>
            <w:pPr>
              <w:jc w:val="start"/>
              <w:spacing w:before="200"/>
              <w:pStyle w:val="ImageCaption"/>
            </w:pPr>
          </w:p>
        </w:tc>
      </w:tr>
    </w:tbl>
    <w:p>
      <w:pPr>
        <w:numPr>
          <w:ilvl w:val="0"/>
          <w:numId w:val="1008"/>
        </w:numPr>
        <w:pStyle w:val="Compact"/>
      </w:pPr>
      <w:r>
        <w:t xml:space="preserve">Anchor item selection: Kopf et al. (2015)</w:t>
      </w:r>
    </w:p>
    <w:p>
      <w:pPr>
        <w:numPr>
          <w:ilvl w:val="0"/>
          <w:numId w:val="1008"/>
        </w:numPr>
        <w:pStyle w:val="Compact"/>
      </w:pPr>
      <w:r>
        <w:t xml:space="preserve">Recent review: Teresi et al. (2022)</w:t>
      </w:r>
    </w:p>
    <w:bookmarkEnd w:id="32"/>
    <w:bookmarkStart w:id="36" w:name="dif-and-scaling-2"/>
    <w:p>
      <w:pPr>
        <w:pStyle w:val="Heading2"/>
      </w:pPr>
      <w:r>
        <w:t xml:space="preserve">DIF and scaling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00562"/>
                  <wp:effectExtent b="0" l="0" r="0" t="0"/>
                  <wp:docPr descr="" title="" id="34" name="Picture"/>
                  <a:graphic>
                    <a:graphicData uri="http://schemas.openxmlformats.org/drawingml/2006/picture">
                      <pic:pic>
                        <pic:nvPicPr>
                          <pic:cNvPr descr="DIF3.jpg" id="35" name="Picture"/>
                          <pic:cNvPicPr>
                            <a:picLocks noChangeArrowheads="1" noChangeAspect="1"/>
                          </pic:cNvPicPr>
                        </pic:nvPicPr>
                        <pic:blipFill>
                          <a:blip r:embed="rId33"/>
                          <a:stretch>
                            <a:fillRect/>
                          </a:stretch>
                        </pic:blipFill>
                        <pic:spPr bwMode="auto">
                          <a:xfrm>
                            <a:off x="0" y="0"/>
                            <a:ext cx="5334000" cy="3000562"/>
                          </a:xfrm>
                          <a:prstGeom prst="rect">
                            <a:avLst/>
                          </a:prstGeom>
                          <a:noFill/>
                          <a:ln w="9525">
                            <a:noFill/>
                            <a:headEnd/>
                            <a:tailEnd/>
                          </a:ln>
                        </pic:spPr>
                      </pic:pic>
                    </a:graphicData>
                  </a:graphic>
                </wp:inline>
              </w:drawing>
            </w:r>
          </w:p>
          <w:p>
            <w:pPr>
              <w:jc w:val="center"/>
            </w:pPr>
            <w:pPr>
              <w:jc w:val="start"/>
              <w:spacing w:before="200"/>
              <w:pStyle w:val="ImageCaption"/>
            </w:pPr>
          </w:p>
        </w:tc>
      </w:tr>
    </w:tbl>
    <w:p>
      <w:pPr>
        <w:numPr>
          <w:ilvl w:val="0"/>
          <w:numId w:val="1009"/>
        </w:numPr>
        <w:pStyle w:val="Compact"/>
      </w:pPr>
      <w:r>
        <w:t xml:space="preserve">Item pairs: Bechger &amp; Maris (2015); Yuan et al. (2021);</w:t>
      </w:r>
    </w:p>
    <w:p>
      <w:pPr>
        <w:numPr>
          <w:ilvl w:val="0"/>
          <w:numId w:val="1009"/>
        </w:numPr>
        <w:pStyle w:val="Compact"/>
      </w:pPr>
      <w:r>
        <w:t xml:space="preserve">Regularization: Belzak &amp; Bauer (2020); Magis et al., (2015); Schauberger &amp; Mair (2020)</w:t>
      </w:r>
    </w:p>
    <w:bookmarkEnd w:id="36"/>
    <w:bookmarkStart w:id="40" w:name="dif-and-scaling-3"/>
    <w:p>
      <w:pPr>
        <w:pStyle w:val="Heading2"/>
      </w:pPr>
      <w:r>
        <w:t xml:space="preserve">DIF and scaling</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000562"/>
                  <wp:effectExtent b="0" l="0" r="0" t="0"/>
                  <wp:docPr descr="" title="" id="38" name="Picture"/>
                  <a:graphic>
                    <a:graphicData uri="http://schemas.openxmlformats.org/drawingml/2006/picture">
                      <pic:pic>
                        <pic:nvPicPr>
                          <pic:cNvPr descr="DIF4.jpg" id="39" name="Picture"/>
                          <pic:cNvPicPr>
                            <a:picLocks noChangeArrowheads="1" noChangeAspect="1"/>
                          </pic:cNvPicPr>
                        </pic:nvPicPr>
                        <pic:blipFill>
                          <a:blip r:embed="rId37"/>
                          <a:stretch>
                            <a:fillRect/>
                          </a:stretch>
                        </pic:blipFill>
                        <pic:spPr bwMode="auto">
                          <a:xfrm>
                            <a:off x="0" y="0"/>
                            <a:ext cx="5334000" cy="3000562"/>
                          </a:xfrm>
                          <a:prstGeom prst="rect">
                            <a:avLst/>
                          </a:prstGeom>
                          <a:noFill/>
                          <a:ln w="9525">
                            <a:noFill/>
                            <a:headEnd/>
                            <a:tailEnd/>
                          </a:ln>
                        </pic:spPr>
                      </pic:pic>
                    </a:graphicData>
                  </a:graphic>
                </wp:inline>
              </w:drawing>
            </w:r>
          </w:p>
          <w:p>
            <w:pPr>
              <w:jc w:val="center"/>
            </w:pPr>
            <w:pPr>
              <w:jc w:val="start"/>
              <w:spacing w:before="200"/>
              <w:pStyle w:val="ImageCaption"/>
            </w:pPr>
          </w:p>
        </w:tc>
      </w:tr>
    </w:tbl>
    <w:p>
      <w:pPr>
        <w:numPr>
          <w:ilvl w:val="0"/>
          <w:numId w:val="1010"/>
        </w:numPr>
        <w:pStyle w:val="Compact"/>
      </w:pPr>
      <w:r>
        <w:t xml:space="preserve">Scaling: He et al. (2015); He &amp; Cui (2020); Stocking &amp; Lord (1983)</w:t>
      </w:r>
    </w:p>
    <w:p>
      <w:pPr>
        <w:numPr>
          <w:ilvl w:val="0"/>
          <w:numId w:val="1010"/>
        </w:numPr>
        <w:pStyle w:val="Compact"/>
      </w:pPr>
      <w:r>
        <w:t xml:space="preserve">DIF: Halpin (2022); Wang et al. (2022)</w:t>
      </w:r>
    </w:p>
    <w:bookmarkEnd w:id="40"/>
    <w:bookmarkStart w:id="41" w:name="what-is-scaling"/>
    <w:p>
      <w:pPr>
        <w:pStyle w:val="Heading2"/>
      </w:pPr>
      <w:r>
        <w:t xml:space="preserve">What is scaling?</w:t>
      </w:r>
    </w:p>
    <w:p>
      <w:pPr>
        <w:numPr>
          <w:ilvl w:val="0"/>
          <w:numId w:val="1011"/>
        </w:numPr>
        <w:pStyle w:val="Compact"/>
      </w:pPr>
      <w:r>
        <w:t xml:space="preserve">To allow scores from different test forms to be compared</w:t>
      </w:r>
    </w:p>
    <w:p>
      <w:pPr>
        <w:numPr>
          <w:ilvl w:val="1"/>
          <w:numId w:val="1012"/>
        </w:numPr>
        <w:pStyle w:val="Compact"/>
      </w:pPr>
      <w:r>
        <w:t xml:space="preserve">Putting two tests</w:t>
      </w:r>
      <w:r>
        <w:t xml:space="preserve"> </w:t>
      </w:r>
      <w:r>
        <w:t xml:space="preserve">“</w:t>
      </w:r>
      <w:r>
        <w:t xml:space="preserve">on the same scale</w:t>
      </w:r>
      <w:r>
        <w:t xml:space="preserve">”</w:t>
      </w:r>
    </w:p>
    <w:p>
      <w:pPr>
        <w:numPr>
          <w:ilvl w:val="0"/>
          <w:numId w:val="1011"/>
        </w:numPr>
        <w:pStyle w:val="Compact"/>
      </w:pPr>
      <w:r>
        <w:t xml:space="preserve">Mostly applicable in large scale educational testing</w:t>
      </w:r>
    </w:p>
    <w:p>
      <w:pPr>
        <w:numPr>
          <w:ilvl w:val="1"/>
          <w:numId w:val="1013"/>
        </w:numPr>
        <w:pStyle w:val="Compact"/>
      </w:pPr>
      <w:r>
        <w:t xml:space="preserve">Multiple versions (forms) for test security</w:t>
      </w:r>
    </w:p>
    <w:p>
      <w:pPr>
        <w:numPr>
          <w:ilvl w:val="1"/>
          <w:numId w:val="1013"/>
        </w:numPr>
        <w:pStyle w:val="Compact"/>
      </w:pPr>
      <w:r>
        <w:t xml:space="preserve">Different tests administered at different time points</w:t>
      </w:r>
    </w:p>
    <w:p>
      <w:pPr>
        <w:numPr>
          <w:ilvl w:val="1"/>
          <w:numId w:val="1013"/>
        </w:numPr>
        <w:pStyle w:val="Compact"/>
      </w:pPr>
      <w:r>
        <w:t xml:space="preserve">TOEFL, SAT, ACT, GRE, …</w:t>
      </w:r>
    </w:p>
    <w:p>
      <w:pPr>
        <w:numPr>
          <w:ilvl w:val="0"/>
          <w:numId w:val="1011"/>
        </w:numPr>
        <w:pStyle w:val="Compact"/>
      </w:pPr>
      <w:r>
        <w:t xml:space="preserve">Kolen, M. J., &amp; Brennan, R. L. (2014). Test Equating, Scaling, and Linking. Springer</w:t>
      </w:r>
    </w:p>
    <w:bookmarkEnd w:id="41"/>
    <w:bookmarkStart w:id="42" w:name="types-of-scaling"/>
    <w:p>
      <w:pPr>
        <w:pStyle w:val="Heading2"/>
      </w:pPr>
      <w:r>
        <w:t xml:space="preserve">Types of scaling</w:t>
      </w:r>
    </w:p>
    <w:p>
      <w:pPr>
        <w:numPr>
          <w:ilvl w:val="0"/>
          <w:numId w:val="1014"/>
        </w:numPr>
      </w:pPr>
      <w:r>
        <w:t xml:space="preserve">Test scores: Observed scores vs IRT-based scores</w:t>
      </w:r>
    </w:p>
    <w:p>
      <w:pPr>
        <w:numPr>
          <w:ilvl w:val="0"/>
          <w:numId w:val="1014"/>
        </w:numPr>
      </w:pPr>
      <w:r>
        <w:t xml:space="preserve">Models for IRT-based scores: Concurrent calibration (multi-group models) vs separate calibration (separate models)</w:t>
      </w:r>
    </w:p>
    <w:p>
      <w:pPr>
        <w:numPr>
          <w:ilvl w:val="0"/>
          <w:numId w:val="1014"/>
        </w:numPr>
      </w:pPr>
      <w:r>
        <w:t xml:space="preserve">Research design: equivalent vs non-equivalent groups, different or overlapping test items</w:t>
      </w:r>
    </w:p>
    <w:bookmarkEnd w:id="42"/>
    <w:bookmarkStart w:id="43" w:name="types-of-scaling-1"/>
    <w:p>
      <w:pPr>
        <w:pStyle w:val="Heading2"/>
      </w:pPr>
      <w:r>
        <w:t xml:space="preserve">Types of scaling</w:t>
      </w:r>
    </w:p>
    <w:p>
      <w:pPr>
        <w:numPr>
          <w:ilvl w:val="0"/>
          <w:numId w:val="1015"/>
        </w:numPr>
      </w:pPr>
      <w:r>
        <w:t xml:space="preserve">Test scores: Observed scores vs</w:t>
      </w:r>
      <w:r>
        <w:t xml:space="preserve"> </w:t>
      </w:r>
      <w:r>
        <w:rPr>
          <w:bCs/>
          <w:b/>
        </w:rPr>
        <w:t xml:space="preserve">IRT-based scores</w:t>
      </w:r>
    </w:p>
    <w:p>
      <w:pPr>
        <w:numPr>
          <w:ilvl w:val="0"/>
          <w:numId w:val="1015"/>
        </w:numPr>
      </w:pPr>
      <w:r>
        <w:t xml:space="preserve">Models for IRT-based scores: Concurrent calibration (multi-group models) vs</w:t>
      </w:r>
      <w:r>
        <w:t xml:space="preserve"> </w:t>
      </w:r>
      <w:r>
        <w:rPr>
          <w:bCs/>
          <w:b/>
        </w:rPr>
        <w:t xml:space="preserve">separate calibration (separate models)</w:t>
      </w:r>
    </w:p>
    <w:p>
      <w:pPr>
        <w:numPr>
          <w:ilvl w:val="0"/>
          <w:numId w:val="1015"/>
        </w:numPr>
      </w:pPr>
      <w:r>
        <w:t xml:space="preserve">Research design: equivalent vs</w:t>
      </w:r>
      <w:r>
        <w:t xml:space="preserve"> </w:t>
      </w:r>
      <w:r>
        <w:rPr>
          <w:bCs/>
          <w:b/>
        </w:rPr>
        <w:t xml:space="preserve">non-equivalent groups</w:t>
      </w:r>
      <w:r>
        <w:t xml:space="preserve">, different or</w:t>
      </w:r>
      <w:r>
        <w:t xml:space="preserve"> </w:t>
      </w:r>
      <w:r>
        <w:rPr>
          <w:bCs/>
          <w:b/>
        </w:rPr>
        <w:t xml:space="preserve">overlapping test items</w:t>
      </w:r>
    </w:p>
    <w:bookmarkEnd w:id="43"/>
    <w:bookmarkStart w:id="44" w:name="X3f0cc6e679639a0ff61106de65204e6544b4c50"/>
    <w:p>
      <w:pPr>
        <w:pStyle w:val="Heading2"/>
      </w:pPr>
      <w:r>
        <w:t xml:space="preserve">Comparable items, non-equivalent groups (CINEG)</w:t>
      </w:r>
    </w:p>
    <w:p>
      <w:pPr>
        <w:numPr>
          <w:ilvl w:val="0"/>
          <w:numId w:val="1016"/>
        </w:numPr>
        <w:pStyle w:val="Compact"/>
      </w:pPr>
      <w:r>
        <w:t xml:space="preserve">Two (or more) non-equivalent groups of respondents</w:t>
      </w:r>
    </w:p>
    <w:p>
      <w:pPr>
        <w:numPr>
          <w:ilvl w:val="1"/>
          <w:numId w:val="1017"/>
        </w:numPr>
        <w:pStyle w:val="Compact"/>
      </w:pPr>
      <w:r>
        <w:t xml:space="preserve">Fall vs spring SAT</w:t>
      </w:r>
    </w:p>
    <w:p>
      <w:pPr>
        <w:numPr>
          <w:ilvl w:val="0"/>
          <w:numId w:val="1016"/>
        </w:numPr>
        <w:pStyle w:val="Compact"/>
      </w:pPr>
      <w:r>
        <w:t xml:space="preserve">Partially overlapping items</w:t>
      </w:r>
    </w:p>
    <w:p>
      <w:pPr>
        <w:numPr>
          <w:ilvl w:val="1"/>
          <w:numId w:val="1018"/>
        </w:numPr>
        <w:pStyle w:val="Compact"/>
      </w:pPr>
      <w:r>
        <w:t xml:space="preserve">Anchor items, appear on both test forms</w:t>
      </w:r>
    </w:p>
    <w:p>
      <w:pPr>
        <w:numPr>
          <w:ilvl w:val="1"/>
          <w:numId w:val="1018"/>
        </w:numPr>
        <w:pStyle w:val="Compact"/>
      </w:pPr>
      <w:r>
        <w:t xml:space="preserve">Separate items, appear on only one test form</w:t>
      </w:r>
    </w:p>
    <w:p>
      <w:pPr>
        <w:numPr>
          <w:ilvl w:val="0"/>
          <w:numId w:val="1016"/>
        </w:numPr>
        <w:pStyle w:val="Compact"/>
      </w:pPr>
      <w:r>
        <w:t xml:space="preserve">CINEG scaling: assumes anchor items have the same item parameters in both groups</w:t>
      </w:r>
    </w:p>
    <w:bookmarkEnd w:id="44"/>
    <w:bookmarkStart w:id="45" w:name="cineg-is-formally-the-same-as-mi-dif"/>
    <w:p>
      <w:pPr>
        <w:pStyle w:val="Heading2"/>
      </w:pPr>
      <w:r>
        <w:t xml:space="preserve">CINEG is formally the same as MI / DIF</w:t>
      </w:r>
    </w:p>
    <w:p>
      <w:pPr>
        <w:numPr>
          <w:ilvl w:val="0"/>
          <w:numId w:val="1019"/>
        </w:numPr>
        <w:pStyle w:val="Compact"/>
      </w:pPr>
      <w:r>
        <w:t xml:space="preserve">“</w:t>
      </w:r>
      <w:r>
        <w:t xml:space="preserve">non-equivalent groups of respondents</w:t>
      </w:r>
      <w:r>
        <w:t xml:space="preserve">”</w:t>
      </w:r>
      <w:r>
        <w:t xml:space="preserve"> </w:t>
      </w:r>
      <w:r>
        <w:t xml:space="preserve">= impact</w:t>
      </w:r>
    </w:p>
    <w:p>
      <w:pPr>
        <w:numPr>
          <w:ilvl w:val="0"/>
          <w:numId w:val="1019"/>
        </w:numPr>
        <w:pStyle w:val="Compact"/>
      </w:pPr>
      <w:r>
        <w:t xml:space="preserve">“</w:t>
      </w:r>
      <w:r>
        <w:t xml:space="preserve">assumes anchor items have the same item parameters in both groups</w:t>
      </w:r>
      <w:r>
        <w:t xml:space="preserve">”</w:t>
      </w:r>
      <w:r>
        <w:t xml:space="preserve"> </w:t>
      </w:r>
      <w:r>
        <w:t xml:space="preserve">= invariance</w:t>
      </w:r>
    </w:p>
    <w:p>
      <w:pPr>
        <w:pStyle w:val="FirstParagraph"/>
      </w:pPr>
      <w:r>
        <w:t xml:space="preserve">. . .</w:t>
      </w:r>
    </w:p>
    <w:p>
      <w:pPr>
        <w:numPr>
          <w:ilvl w:val="0"/>
          <w:numId w:val="1020"/>
        </w:numPr>
        <w:pStyle w:val="Compact"/>
      </w:pPr>
      <w:r>
        <w:t xml:space="preserve">Robust scaling: considers that some anchors perform differently across groups = DIF</w:t>
      </w:r>
    </w:p>
    <w:p>
      <w:pPr>
        <w:pStyle w:val="FirstParagraph"/>
      </w:pPr>
      <w:r>
        <w:t xml:space="preserve">. . .</w:t>
      </w:r>
    </w:p>
    <w:p>
      <w:pPr>
        <w:numPr>
          <w:ilvl w:val="0"/>
          <w:numId w:val="1021"/>
        </w:numPr>
        <w:pStyle w:val="Compact"/>
      </w:pPr>
      <w:r>
        <w:t xml:space="preserve">Different application: In scaling, groups of respondents are defined by what test they took, not pre-existing social groups</w:t>
      </w:r>
    </w:p>
    <w:bookmarkEnd w:id="45"/>
    <w:bookmarkStart w:id="46" w:name="how-it-works-scaling-functions"/>
    <w:p>
      <w:pPr>
        <w:pStyle w:val="Heading2"/>
      </w:pPr>
      <w:r>
        <w:t xml:space="preserve">How it works: Scaling functions</w:t>
      </w:r>
    </w:p>
    <w:p>
      <w:pPr>
        <w:numPr>
          <w:ilvl w:val="0"/>
          <w:numId w:val="1022"/>
        </w:numPr>
        <w:pStyle w:val="Compact"/>
      </w:pPr>
      <w:r>
        <w:t xml:space="preserve">Assume:</w:t>
      </w:r>
    </w:p>
    <w:p>
      <w:pPr>
        <w:numPr>
          <w:ilvl w:val="1"/>
          <w:numId w:val="1023"/>
        </w:numPr>
        <w:pStyle w:val="Compact"/>
      </w:pPr>
      <m:oMath>
        <m:r>
          <m:t>θ</m:t>
        </m:r>
        <m:r>
          <m:rPr>
            <m:sty m:val="p"/>
          </m:rPr>
          <m:t>∼</m:t>
        </m:r>
        <m:r>
          <m:t>N</m:t>
        </m:r>
        <m:d>
          <m:dPr>
            <m:begChr m:val="("/>
            <m:endChr m:val=")"/>
            <m:sepChr m:val=""/>
            <m:grow/>
          </m:dPr>
          <m:e>
            <m:r>
              <m:t>0</m:t>
            </m:r>
            <m:r>
              <m:rPr>
                <m:sty m:val="p"/>
              </m:rPr>
              <m:t>,</m:t>
            </m:r>
            <m:r>
              <m:t>1</m:t>
            </m:r>
          </m:e>
        </m:d>
      </m:oMath>
      <w:r>
        <w:t xml:space="preserve"> </w:t>
      </w:r>
      <w:r>
        <w:t xml:space="preserve">in reference group</w:t>
      </w:r>
    </w:p>
    <w:p>
      <w:pPr>
        <w:numPr>
          <w:ilvl w:val="1"/>
          <w:numId w:val="1023"/>
        </w:numPr>
        <w:pStyle w:val="Compact"/>
      </w:pPr>
      <m:oMath>
        <m:r>
          <m:t>θ</m:t>
        </m:r>
        <m:r>
          <m:rPr>
            <m:sty m:val="p"/>
          </m:rPr>
          <m:t>∼</m:t>
        </m:r>
        <m:r>
          <m:t>N</m:t>
        </m:r>
        <m:d>
          <m:dPr>
            <m:begChr m:val="("/>
            <m:endChr m:val=")"/>
            <m:sepChr m:val=""/>
            <m:grow/>
          </m:dPr>
          <m:e>
            <m:r>
              <m:t>μ</m:t>
            </m:r>
            <m:r>
              <m:rPr>
                <m:sty m:val="p"/>
              </m:rPr>
              <m:t>,</m:t>
            </m:r>
            <m:r>
              <m:t>σ</m:t>
            </m:r>
          </m:e>
        </m:d>
      </m:oMath>
      <w:r>
        <w:t xml:space="preserve"> </w:t>
      </w:r>
      <w:r>
        <w:t xml:space="preserve">in comparison group</w:t>
      </w:r>
    </w:p>
    <w:p>
      <w:pPr>
        <w:numPr>
          <w:ilvl w:val="0"/>
          <w:numId w:val="1022"/>
        </w:numPr>
        <w:pStyle w:val="Compact"/>
      </w:pPr>
      <w:r>
        <w:t xml:space="preserve">In the scaling context,</w:t>
      </w:r>
      <w:r>
        <w:t xml:space="preserve"> </w:t>
      </w:r>
      <m:oMath>
        <m:r>
          <m:t>μ</m:t>
        </m:r>
      </m:oMath>
      <w:r>
        <w:t xml:space="preserve"> </w:t>
      </w:r>
      <w:r>
        <w:t xml:space="preserve">and</w:t>
      </w:r>
      <w:r>
        <w:t xml:space="preserve"> </w:t>
      </w:r>
      <m:oMath>
        <m:r>
          <m:t>σ</m:t>
        </m:r>
      </m:oMath>
      <w:r>
        <w:t xml:space="preserve"> </w:t>
      </w:r>
      <w:r>
        <w:t xml:space="preserve">are called</w:t>
      </w:r>
      <w:r>
        <w:t xml:space="preserve"> </w:t>
      </w:r>
      <w:r>
        <w:rPr>
          <w:iCs/>
          <w:i/>
        </w:rPr>
        <w:t xml:space="preserve">scaling parameters</w:t>
      </w:r>
    </w:p>
    <w:p>
      <w:pPr>
        <w:numPr>
          <w:ilvl w:val="0"/>
          <w:numId w:val="1022"/>
        </w:numPr>
        <w:pStyle w:val="Compact"/>
      </w:pPr>
      <w:r>
        <w:t xml:space="preserve">If we know these parameters, we can put two test forms on the same scale</w:t>
      </w:r>
    </w:p>
    <w:p>
      <w:pPr>
        <w:numPr>
          <w:ilvl w:val="0"/>
          <w:numId w:val="1022"/>
        </w:numPr>
        <w:pStyle w:val="Compact"/>
      </w:pPr>
      <w:r>
        <w:t xml:space="preserve">Earlier, we talked about these same parameters in terms of</w:t>
      </w:r>
      <w:r>
        <w:t xml:space="preserve"> </w:t>
      </w:r>
      <w:r>
        <w:rPr>
          <w:iCs/>
          <w:i/>
        </w:rPr>
        <w:t xml:space="preserve">impact</w:t>
      </w:r>
    </w:p>
    <w:bookmarkEnd w:id="46"/>
    <w:bookmarkStart w:id="47" w:name="how-it-works-scaling-functions-1"/>
    <w:p>
      <w:pPr>
        <w:pStyle w:val="Heading2"/>
      </w:pPr>
      <w:r>
        <w:t xml:space="preserve">How it works: Scaling functions</w:t>
      </w:r>
    </w:p>
    <w:p>
      <w:pPr>
        <w:numPr>
          <w:ilvl w:val="0"/>
          <w:numId w:val="1024"/>
        </w:numPr>
      </w:pPr>
      <w:r>
        <w:t xml:space="preserve">Scaling functions are used to compute scaling parameters using item parameters</w:t>
      </w:r>
    </w:p>
    <w:p>
      <w:pPr>
        <w:numPr>
          <w:ilvl w:val="0"/>
          <w:numId w:val="1024"/>
        </w:numPr>
      </w:pPr>
      <w:r>
        <w:t xml:space="preserve">e.g.,</w:t>
      </w:r>
      <w:r>
        <w:t xml:space="preserve"> </w:t>
      </w:r>
      <w:r>
        <w:t xml:space="preserve">“</w:t>
      </w:r>
      <w:r>
        <w:t xml:space="preserve">mean-mean</w:t>
      </w:r>
      <w:r>
        <w:t xml:space="preserve">”</w:t>
      </w:r>
      <w:r>
        <w:t xml:space="preserve"> </w:t>
      </w:r>
      <w:r>
        <w:t xml:space="preserve">scaling for 2PL model</w:t>
      </w:r>
    </w:p>
    <w:p>
      <w:pPr>
        <w:numPr>
          <w:ilvl w:val="1"/>
          <w:numId w:val="1025"/>
        </w:numPr>
        <w:pStyle w:val="Compact"/>
      </w:pPr>
      <m:oMath>
        <m:r>
          <m:t>σ</m:t>
        </m:r>
        <m:r>
          <m:rPr>
            <m:sty m:val="p"/>
          </m:rPr>
          <m:t>=</m:t>
        </m:r>
        <m:r>
          <m:rPr>
            <m:nor/>
            <m:sty m:val="p"/>
          </m:rPr>
          <m:t>mean</m:t>
        </m:r>
        <m:d>
          <m:dPr>
            <m:begChr m:val="("/>
            <m:endChr m:val=")"/>
            <m:sepChr m:val=""/>
            <m:grow/>
          </m:dPr>
          <m:e>
            <m:sSub>
              <m:e>
                <m:r>
                  <m:t>a</m:t>
                </m:r>
              </m:e>
              <m:sub>
                <m:r>
                  <m:t>j</m:t>
                </m:r>
                <m:r>
                  <m:t>1</m:t>
                </m:r>
              </m:sub>
            </m:sSub>
          </m:e>
        </m:d>
        <m:r>
          <m:rPr>
            <m:sty m:val="p"/>
          </m:rPr>
          <m:t>/</m:t>
        </m:r>
        <m:r>
          <m:rPr>
            <m:nor/>
            <m:sty m:val="p"/>
          </m:rPr>
          <m:t>mean</m:t>
        </m:r>
        <m:d>
          <m:dPr>
            <m:begChr m:val="("/>
            <m:endChr m:val=")"/>
            <m:sepChr m:val=""/>
            <m:grow/>
          </m:dPr>
          <m:e>
            <m:sSub>
              <m:e>
                <m:r>
                  <m:t>a</m:t>
                </m:r>
              </m:e>
              <m:sub>
                <m:r>
                  <m:t>j</m:t>
                </m:r>
                <m:r>
                  <m:t>0</m:t>
                </m:r>
              </m:sub>
            </m:sSub>
          </m:e>
        </m:d>
      </m:oMath>
    </w:p>
    <w:p>
      <w:pPr>
        <w:numPr>
          <w:ilvl w:val="1"/>
          <w:numId w:val="1025"/>
        </w:numPr>
        <w:pStyle w:val="Compact"/>
      </w:pPr>
      <m:oMath>
        <m:r>
          <m:t>μ</m:t>
        </m:r>
        <m:r>
          <m:rPr>
            <m:sty m:val="p"/>
          </m:rPr>
          <m:t>=</m:t>
        </m:r>
        <m:r>
          <m:rPr>
            <m:nor/>
            <m:sty m:val="p"/>
          </m:rPr>
          <m:t>mean</m:t>
        </m:r>
        <m:d>
          <m:dPr>
            <m:begChr m:val="("/>
            <m:endChr m:val=")"/>
            <m:sepChr m:val=""/>
            <m:grow/>
          </m:dPr>
          <m:e>
            <m:sSub>
              <m:e>
                <m:r>
                  <m:t>b</m:t>
                </m:r>
              </m:e>
              <m:sub>
                <m:r>
                  <m:t>j</m:t>
                </m:r>
                <m:r>
                  <m:t>1</m:t>
                </m:r>
              </m:sub>
            </m:sSub>
          </m:e>
        </m:d>
        <m:r>
          <m:rPr>
            <m:sty m:val="p"/>
          </m:rPr>
          <m:t>−</m:t>
        </m:r>
        <m:r>
          <m:t>σ</m:t>
        </m:r>
        <m:r>
          <m:rPr>
            <m:sty m:val="p"/>
          </m:rPr>
          <m:t>×</m:t>
        </m:r>
        <m:r>
          <m:rPr>
            <m:nor/>
            <m:sty m:val="p"/>
          </m:rPr>
          <m:t>mean</m:t>
        </m:r>
        <m:d>
          <m:dPr>
            <m:begChr m:val="("/>
            <m:endChr m:val=")"/>
            <m:sepChr m:val=""/>
            <m:grow/>
          </m:dPr>
          <m:e>
            <m:sSub>
              <m:e>
                <m:r>
                  <m:t>b</m:t>
                </m:r>
              </m:e>
              <m:sub>
                <m:r>
                  <m:t>j</m:t>
                </m:r>
                <m:r>
                  <m:t>0</m:t>
                </m:r>
              </m:sub>
            </m:sSub>
          </m:e>
        </m:d>
      </m:oMath>
    </w:p>
    <w:p>
      <w:pPr>
        <w:numPr>
          <w:ilvl w:val="0"/>
          <w:numId w:val="1024"/>
        </w:numPr>
      </w:pPr>
      <w:r>
        <w:t xml:space="preserve">There are many scaling functions, we focus on this kind of</w:t>
      </w:r>
      <w:r>
        <w:t xml:space="preserve"> </w:t>
      </w:r>
      <w:r>
        <w:t xml:space="preserve">“</w:t>
      </w:r>
      <w:r>
        <w:t xml:space="preserve">moment-based</w:t>
      </w:r>
      <w:r>
        <w:t xml:space="preserve">”</w:t>
      </w:r>
      <w:r>
        <w:t xml:space="preserve"> </w:t>
      </w:r>
      <w:r>
        <w:t xml:space="preserve">function</w:t>
      </w:r>
    </w:p>
    <w:p>
      <w:pPr>
        <w:numPr>
          <w:ilvl w:val="0"/>
          <w:numId w:val="1024"/>
        </w:numPr>
      </w:pPr>
      <w:r>
        <w:t xml:space="preserve">See Appendix for more details</w:t>
      </w:r>
    </w:p>
    <w:bookmarkEnd w:id="47"/>
    <w:bookmarkStart w:id="48" w:name="summary"/>
    <w:p>
      <w:pPr>
        <w:pStyle w:val="Heading2"/>
      </w:pPr>
      <w:r>
        <w:t xml:space="preserve">Summary</w:t>
      </w:r>
    </w:p>
    <w:p>
      <w:pPr>
        <w:numPr>
          <w:ilvl w:val="0"/>
          <w:numId w:val="1026"/>
        </w:numPr>
        <w:pStyle w:val="Compact"/>
      </w:pPr>
      <w:r>
        <w:t xml:space="preserve">Scaling is about putting scores from different test forms on the same scale</w:t>
      </w:r>
    </w:p>
    <w:p>
      <w:pPr>
        <w:numPr>
          <w:ilvl w:val="0"/>
          <w:numId w:val="1026"/>
        </w:numPr>
        <w:pStyle w:val="Compact"/>
      </w:pPr>
      <w:r>
        <w:t xml:space="preserve">Our focus: IRT-based scaling, separate calibrations, CINEG design</w:t>
      </w:r>
    </w:p>
    <w:p>
      <w:pPr>
        <w:numPr>
          <w:ilvl w:val="0"/>
          <w:numId w:val="1026"/>
        </w:numPr>
        <w:pStyle w:val="Compact"/>
      </w:pPr>
      <w:r>
        <w:t xml:space="preserve">DIF and IRT-based scaling with CINEG design are formally similar</w:t>
      </w:r>
    </w:p>
    <w:p>
      <w:pPr>
        <w:numPr>
          <w:ilvl w:val="1"/>
          <w:numId w:val="1027"/>
        </w:numPr>
        <w:pStyle w:val="Compact"/>
      </w:pPr>
      <w:r>
        <w:t xml:space="preserve">“</w:t>
      </w:r>
      <w:r>
        <w:t xml:space="preserve">Two sides of same problem</w:t>
      </w:r>
      <w:r>
        <w:t xml:space="preserve">”</w:t>
      </w:r>
      <w:r>
        <w:t xml:space="preserve"> </w:t>
      </w:r>
      <w:r>
        <w:t xml:space="preserve">but different research applications</w:t>
      </w:r>
    </w:p>
    <w:p>
      <w:pPr>
        <w:numPr>
          <w:ilvl w:val="0"/>
          <w:numId w:val="1026"/>
        </w:numPr>
        <w:pStyle w:val="Compact"/>
      </w:pPr>
      <w:r>
        <w:t xml:space="preserve">Scaling functions provide a useful too for DIF analysis</w:t>
      </w:r>
    </w:p>
    <w:bookmarkEnd w:id="48"/>
    <w:bookmarkEnd w:id="49"/>
    <w:bookmarkStart w:id="76" w:name="robust-scaling"/>
    <w:p>
      <w:pPr>
        <w:pStyle w:val="Heading1"/>
      </w:pPr>
      <w:r>
        <w:t xml:space="preserve">Robust Scaling</w:t>
      </w:r>
    </w:p>
    <w:p>
      <w:pPr>
        <w:numPr>
          <w:ilvl w:val="0"/>
          <w:numId w:val="1028"/>
        </w:numPr>
        <w:pStyle w:val="Compact"/>
      </w:pPr>
      <w:r>
        <w:t xml:space="preserve">Items with DIF translate into outliers in scaling</w:t>
      </w:r>
    </w:p>
    <w:bookmarkStart w:id="53" w:name="dif-scaling-and-robust-regression"/>
    <w:p>
      <w:pPr>
        <w:pStyle w:val="Heading2"/>
      </w:pPr>
      <w:r>
        <w:t xml:space="preserve">DIF, scaling, and robust regression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200506"/>
                  <wp:effectExtent b="0" l="0" r="0" t="0"/>
                  <wp:docPr descr="" title="" id="51" name="Picture"/>
                  <a:graphic>
                    <a:graphicData uri="http://schemas.openxmlformats.org/drawingml/2006/picture">
                      <pic:pic>
                        <pic:nvPicPr>
                          <pic:cNvPr descr="regression_plot.jpg" id="52" name="Picture"/>
                          <pic:cNvPicPr>
                            <a:picLocks noChangeArrowheads="1" noChangeAspect="1"/>
                          </pic:cNvPicPr>
                        </pic:nvPicPr>
                        <pic:blipFill>
                          <a:blip r:embed="rId50"/>
                          <a:stretch>
                            <a:fillRect/>
                          </a:stretch>
                        </pic:blipFill>
                        <pic:spPr bwMode="auto">
                          <a:xfrm>
                            <a:off x="0" y="0"/>
                            <a:ext cx="5334000" cy="4200506"/>
                          </a:xfrm>
                          <a:prstGeom prst="rect">
                            <a:avLst/>
                          </a:prstGeom>
                          <a:noFill/>
                          <a:ln w="9525">
                            <a:noFill/>
                            <a:headEnd/>
                            <a:tailEnd/>
                          </a:ln>
                        </pic:spPr>
                      </pic:pic>
                    </a:graphicData>
                  </a:graphic>
                </wp:inline>
              </w:drawing>
            </w:r>
          </w:p>
          <w:p>
            <w:pPr>
              <w:jc w:val="center"/>
            </w:pPr>
            <w:pPr>
              <w:jc w:val="start"/>
              <w:spacing w:before="200"/>
              <w:pStyle w:val="ImageCaption"/>
            </w:pPr>
          </w:p>
        </w:tc>
      </w:tr>
    </w:tbl>
    <w:p>
      <w:pPr>
        <w:numPr>
          <w:ilvl w:val="0"/>
          <w:numId w:val="1029"/>
        </w:numPr>
        <w:pStyle w:val="Compact"/>
      </w:pPr>
      <w:r>
        <w:t xml:space="preserve">CINEG scaling via linear regression in the presence of DIF. Points represent difficulty parameters from the 2PL model, estimated in two groups The red point is an item with DIF. The scaling parameters are written as</w:t>
      </w:r>
      <w:r>
        <w:t xml:space="preserve"> </w:t>
      </w:r>
      <m:oMath>
        <m:sSub>
          <m:e>
            <m:r>
              <m:t>μ</m:t>
            </m:r>
          </m:e>
          <m:sub>
            <m:r>
              <m:t>1</m:t>
            </m:r>
          </m:sub>
        </m:sSub>
      </m:oMath>
      <w:r>
        <w:t xml:space="preserve"> </w:t>
      </w:r>
      <w:r>
        <w:t xml:space="preserve">and</w:t>
      </w:r>
      <w:r>
        <w:t xml:space="preserve"> </w:t>
      </w:r>
      <m:oMath>
        <m:sSub>
          <m:e>
            <m:r>
              <m:t>σ</m:t>
            </m:r>
          </m:e>
          <m:sub>
            <m:r>
              <m:t>1</m:t>
            </m:r>
          </m:sub>
        </m:sSub>
      </m:oMath>
      <w:r>
        <w:t xml:space="preserve">. DGP = data generating parameters; LAD = least absolute deviation; OLS = ordinary least squares.</w:t>
      </w:r>
    </w:p>
    <w:bookmarkEnd w:id="53"/>
    <w:bookmarkStart w:id="54" w:name="from-regression-to-scaling"/>
    <w:p>
      <w:pPr>
        <w:pStyle w:val="Heading2"/>
      </w:pPr>
      <w:r>
        <w:t xml:space="preserve">From regression to scaling</w:t>
      </w:r>
    </w:p>
    <w:p>
      <w:pPr>
        <w:numPr>
          <w:ilvl w:val="0"/>
          <w:numId w:val="1030"/>
        </w:numPr>
      </w:pPr>
      <w:r>
        <w:t xml:space="preserve">“</w:t>
      </w:r>
      <w:r>
        <w:t xml:space="preserve">Out of the box</w:t>
      </w:r>
      <w:r>
        <w:t xml:space="preserve">”</w:t>
      </w:r>
      <w:r>
        <w:t xml:space="preserve"> </w:t>
      </w:r>
      <w:r>
        <w:t xml:space="preserve">robust regression doesn’t work very well for this problem</w:t>
      </w:r>
    </w:p>
    <w:p>
      <w:pPr>
        <w:numPr>
          <w:ilvl w:val="0"/>
          <w:numId w:val="1030"/>
        </w:numPr>
      </w:pPr>
      <w:r>
        <w:t xml:space="preserve">Regression model misses some peculiar aspects of the scaling problem</w:t>
      </w:r>
    </w:p>
    <w:p>
      <w:pPr>
        <w:numPr>
          <w:ilvl w:val="1"/>
          <w:numId w:val="1031"/>
        </w:numPr>
        <w:pStyle w:val="Compact"/>
      </w:pPr>
      <w:r>
        <w:t xml:space="preserve">Without DIF, item parameters have an exact linear relationship</w:t>
      </w:r>
    </w:p>
    <w:p>
      <w:pPr>
        <w:numPr>
          <w:ilvl w:val="1"/>
          <w:numId w:val="1031"/>
        </w:numPr>
        <w:pStyle w:val="Compact"/>
      </w:pPr>
      <w:r>
        <w:t xml:space="preserve">Heteroskedastic error in both variables (</w:t>
      </w:r>
      <m:oMath>
        <m:r>
          <m:t>S</m:t>
        </m:r>
        <m:r>
          <m:t>E</m:t>
        </m:r>
        <m:d>
          <m:dPr>
            <m:begChr m:val="("/>
            <m:endChr m:val=")"/>
            <m:sepChr m:val=""/>
            <m:grow/>
          </m:dPr>
          <m:e>
            <m:acc>
              <m:accPr>
                <m:chr m:val="̂"/>
              </m:accPr>
              <m:e>
                <m:r>
                  <m:t>b</m:t>
                </m:r>
              </m:e>
            </m:acc>
          </m:e>
        </m:d>
      </m:oMath>
      <w:r>
        <w:t xml:space="preserve"> </w:t>
      </w:r>
      <w:r>
        <w:t xml:space="preserve">depends on</w:t>
      </w:r>
      <w:r>
        <w:t xml:space="preserve"> </w:t>
      </w:r>
      <m:oMath>
        <m:acc>
          <m:accPr>
            <m:chr m:val="̂"/>
          </m:accPr>
          <m:e>
            <m:r>
              <m:t>b</m:t>
            </m:r>
          </m:e>
        </m:acc>
      </m:oMath>
      <w:r>
        <w:t xml:space="preserve">)</w:t>
      </w:r>
    </w:p>
    <w:p>
      <w:pPr>
        <w:numPr>
          <w:ilvl w:val="1"/>
          <w:numId w:val="1031"/>
        </w:numPr>
        <w:pStyle w:val="Compact"/>
      </w:pPr>
      <w:r>
        <w:t xml:space="preserve">We have estimates of</w:t>
      </w:r>
      <w:r>
        <w:t xml:space="preserve"> </w:t>
      </w:r>
      <m:oMath>
        <m:r>
          <m:t>S</m:t>
        </m:r>
        <m:r>
          <m:t>E</m:t>
        </m:r>
        <m:d>
          <m:dPr>
            <m:begChr m:val="("/>
            <m:endChr m:val=")"/>
            <m:sepChr m:val=""/>
            <m:grow/>
          </m:dPr>
          <m:e>
            <m:acc>
              <m:accPr>
                <m:chr m:val="̂"/>
              </m:accPr>
              <m:e>
                <m:r>
                  <m:t>b</m:t>
                </m:r>
              </m:e>
            </m:acc>
          </m:e>
        </m:d>
      </m:oMath>
      <w:r>
        <w:t xml:space="preserve"> </w:t>
      </w:r>
      <w:r>
        <w:t xml:space="preserve">– but how to use them??</w:t>
      </w:r>
    </w:p>
    <w:bookmarkEnd w:id="54"/>
    <w:bookmarkStart w:id="55" w:name="robust-scaling-overall-approach"/>
    <w:p>
      <w:pPr>
        <w:pStyle w:val="Heading2"/>
      </w:pPr>
      <w:r>
        <w:t xml:space="preserve">Robust scaling: Overall approach</w:t>
      </w:r>
    </w:p>
    <w:p>
      <w:pPr>
        <w:numPr>
          <w:ilvl w:val="0"/>
          <w:numId w:val="1032"/>
        </w:numPr>
        <w:pStyle w:val="Compact"/>
      </w:pPr>
      <w:r>
        <w:t xml:space="preserve">Implicitly define scale parameter (impact)</w:t>
      </w:r>
      <w:r>
        <w:t xml:space="preserve"> </w:t>
      </w:r>
      <m:oMath>
        <m:r>
          <m:t>μ</m:t>
        </m:r>
      </m:oMath>
      <w:r>
        <w:t xml:space="preserve"> </w:t>
      </w:r>
      <w:r>
        <w:t xml:space="preserve">via M-estimating equation for a location parameter</w:t>
      </w:r>
    </w:p>
    <w:p>
      <w:pPr>
        <w:pStyle w:val="FirstParagraph"/>
      </w:pPr>
      <m:oMathPara>
        <m:oMathParaPr>
          <m:jc m:val="center"/>
        </m:oMathParaPr>
        <m:oMath>
          <m:r>
            <m:t>Ψ</m:t>
          </m:r>
          <m:d>
            <m:dPr>
              <m:begChr m:val="("/>
              <m:endChr m:val=")"/>
              <m:sepChr m:val=""/>
              <m:grow/>
            </m:dPr>
            <m:e>
              <m:r>
                <m:t>μ</m:t>
              </m:r>
            </m:e>
          </m:d>
          <m:r>
            <m:rPr>
              <m:sty m:val="p"/>
            </m:rPr>
            <m:t>=</m:t>
          </m:r>
          <m:nary>
            <m:naryPr>
              <m:chr m:val="∑"/>
              <m:limLoc m:val="undOvr"/>
              <m:subHide m:val="0"/>
              <m:supHide m:val="1"/>
            </m:naryPr>
            <m:sub>
              <m:r>
                <m:t>i</m:t>
              </m:r>
            </m:sub>
            <m:sup>
              <m:r>
                <m:t>​</m:t>
              </m:r>
            </m:sup>
            <m:e>
              <m:r>
                <m:t>ψ</m:t>
              </m:r>
            </m:e>
          </m:nary>
          <m:d>
            <m:dPr>
              <m:begChr m:val="("/>
              <m:endChr m:val=")"/>
              <m:sepChr m:val=""/>
              <m:grow/>
            </m:dPr>
            <m:e>
              <m:f>
                <m:fPr>
                  <m:type m:val="bar"/>
                </m:fPr>
                <m:num>
                  <m:sSub>
                    <m:e>
                      <m:r>
                        <m:t>Y</m:t>
                      </m:r>
                    </m:e>
                    <m:sub>
                      <m:r>
                        <m:t>i</m:t>
                      </m:r>
                    </m:sub>
                  </m:sSub>
                  <m:r>
                    <m:rPr>
                      <m:sty m:val="p"/>
                    </m:rPr>
                    <m:t>−</m:t>
                  </m:r>
                  <m:r>
                    <m:t>μ</m:t>
                  </m:r>
                </m:num>
                <m:den>
                  <m:r>
                    <m:t>V</m:t>
                  </m:r>
                  <m:d>
                    <m:dPr>
                      <m:begChr m:val="["/>
                      <m:endChr m:val="]"/>
                      <m:sepChr m:val=""/>
                      <m:grow/>
                    </m:dPr>
                    <m:e>
                      <m:sSub>
                        <m:e>
                          <m:r>
                            <m:t>Y</m:t>
                          </m:r>
                        </m:e>
                        <m:sub>
                          <m:r>
                            <m:t>i</m:t>
                          </m:r>
                        </m:sub>
                      </m:sSub>
                    </m:e>
                  </m:d>
                </m:den>
              </m:f>
            </m:e>
          </m:d>
          <m:r>
            <m:rPr>
              <m:sty m:val="p"/>
            </m:rPr>
            <m:t>=</m:t>
          </m:r>
          <m:r>
            <m:t>0</m:t>
          </m:r>
        </m:oMath>
      </m:oMathPara>
    </w:p>
    <w:p>
      <w:pPr>
        <w:numPr>
          <w:ilvl w:val="0"/>
          <w:numId w:val="1033"/>
        </w:numPr>
        <w:pStyle w:val="Compact"/>
      </w:pPr>
      <m:oMath>
        <m:sSub>
          <m:e>
            <m:r>
              <m:t>Y</m:t>
            </m:r>
          </m:e>
          <m:sub>
            <m:r>
              <m:t>j</m:t>
            </m:r>
          </m:sub>
        </m:sSub>
      </m:oMath>
      <w:r>
        <w:t xml:space="preserve"> </w:t>
      </w:r>
      <w:r>
        <w:t xml:space="preserve">is a scaling function based on parameters of item</w:t>
      </w:r>
      <w:r>
        <w:t xml:space="preserve"> </w:t>
      </w:r>
      <m:oMath>
        <m:r>
          <m:t>j</m:t>
        </m:r>
        <m:r>
          <m:rPr>
            <m:sty m:val="p"/>
          </m:rPr>
          <m:t>=</m:t>
        </m:r>
        <m:r>
          <m:t>1</m:t>
        </m:r>
        <m:r>
          <m:rPr>
            <m:sty m:val="p"/>
          </m:rPr>
          <m:t>,</m:t>
        </m:r>
        <m:r>
          <m:rPr>
            <m:sty m:val="p"/>
          </m:rPr>
          <m:t>…</m:t>
        </m:r>
        <m:r>
          <m:rPr>
            <m:sty m:val="p"/>
          </m:rPr>
          <m:t>,</m:t>
        </m:r>
        <m:r>
          <m:t>J</m:t>
        </m:r>
      </m:oMath>
    </w:p>
    <w:p>
      <w:pPr>
        <w:numPr>
          <w:ilvl w:val="0"/>
          <w:numId w:val="1033"/>
        </w:numPr>
        <w:pStyle w:val="Compact"/>
      </w:pPr>
      <m:oMath>
        <m:r>
          <m:t>V</m:t>
        </m:r>
        <m:d>
          <m:dPr>
            <m:begChr m:val="["/>
            <m:endChr m:val="]"/>
            <m:sepChr m:val=""/>
            <m:grow/>
          </m:dPr>
          <m:e>
            <m:sSub>
              <m:e>
                <m:r>
                  <m:t>Y</m:t>
                </m:r>
              </m:e>
              <m:sub>
                <m:r>
                  <m:t>i</m:t>
                </m:r>
              </m:sub>
            </m:sSub>
          </m:e>
        </m:d>
      </m:oMath>
      <w:r>
        <w:t xml:space="preserve"> </w:t>
      </w:r>
      <w:r>
        <w:t xml:space="preserve">is the variance of</w:t>
      </w:r>
      <w:r>
        <w:t xml:space="preserve"> </w:t>
      </w:r>
      <m:oMath>
        <m:sSub>
          <m:e>
            <m:r>
              <m:t>Y</m:t>
            </m:r>
          </m:e>
          <m:sub>
            <m:r>
              <m:t>i</m:t>
            </m:r>
          </m:sub>
        </m:sSub>
      </m:oMath>
      <w:r>
        <w:t xml:space="preserve"> </w:t>
      </w:r>
      <w:r>
        <w:t xml:space="preserve">obtained via the delta method</w:t>
      </w:r>
    </w:p>
    <w:p>
      <w:pPr>
        <w:numPr>
          <w:ilvl w:val="0"/>
          <w:numId w:val="1033"/>
        </w:numPr>
        <w:pStyle w:val="Compact"/>
      </w:pPr>
      <m:oMath>
        <m:r>
          <m:t>ψ</m:t>
        </m:r>
      </m:oMath>
      <w:r>
        <w:t xml:space="preserve"> </w:t>
      </w:r>
      <w:r>
        <w:t xml:space="preserve">is a</w:t>
      </w:r>
      <w:r>
        <w:t xml:space="preserve"> </w:t>
      </w:r>
      <w:r>
        <w:t xml:space="preserve">“</w:t>
      </w:r>
      <w:r>
        <w:t xml:space="preserve">redescending</w:t>
      </w:r>
      <w:r>
        <w:t xml:space="preserve">”</w:t>
      </w:r>
      <w:r>
        <w:t xml:space="preserve"> </w:t>
      </w:r>
      <w:r>
        <w:t xml:space="preserve">loss function chosen to flag outliers (i.e., items with DIF)</w:t>
      </w:r>
    </w:p>
    <w:p>
      <w:pPr>
        <w:numPr>
          <w:ilvl w:val="1"/>
          <w:numId w:val="1034"/>
        </w:numPr>
        <w:pStyle w:val="Compact"/>
      </w:pPr>
      <w:r>
        <w:t xml:space="preserve">Use Tukey’s bi-square for computations</w:t>
      </w:r>
    </w:p>
    <w:p>
      <w:pPr>
        <w:numPr>
          <w:ilvl w:val="0"/>
          <w:numId w:val="1035"/>
        </w:numPr>
        <w:pStyle w:val="Compact"/>
      </w:pPr>
      <w:r>
        <w:t xml:space="preserve">Details in Halpin (2022)</w:t>
      </w:r>
    </w:p>
    <w:bookmarkEnd w:id="55"/>
    <w:bookmarkStart w:id="56" w:name="how-items-with-dif-are-flagged"/>
    <w:p>
      <w:pPr>
        <w:pStyle w:val="Heading2"/>
      </w:pPr>
      <w:r>
        <w:t xml:space="preserve">How items with DIF are flagged</w:t>
      </w:r>
    </w:p>
    <w:p>
      <w:pPr>
        <w:numPr>
          <w:ilvl w:val="0"/>
          <w:numId w:val="1036"/>
        </w:numPr>
        <w:pStyle w:val="Compact"/>
      </w:pPr>
      <w:r>
        <w:t xml:space="preserve">Estimation via iteratively weighted least squares (IRLS)</w:t>
      </w:r>
    </w:p>
    <w:p>
      <w:pPr>
        <w:pStyle w:val="FirstParagraph"/>
      </w:pPr>
      <m:oMathPara>
        <m:oMathParaPr>
          <m:jc m:val="center"/>
        </m:oMathParaPr>
        <m:oMath>
          <m:acc>
            <m:accPr>
              <m:chr m:val="̂"/>
            </m:accPr>
            <m:e>
              <m:r>
                <m:t>μ</m:t>
              </m:r>
            </m:e>
          </m:acc>
          <m:r>
            <m:rPr>
              <m:sty m:val="p"/>
            </m:rPr>
            <m:t>=</m:t>
          </m:r>
          <m:sSub>
            <m:e>
              <m:r>
                <m:t>w</m:t>
              </m:r>
            </m:e>
            <m:sub>
              <m:r>
                <m:t>i</m:t>
              </m:r>
            </m:sub>
          </m:sSub>
          <m:sSub>
            <m:e>
              <m:r>
                <m:t>z</m:t>
              </m:r>
            </m:e>
            <m:sub>
              <m:r>
                <m:t>i</m:t>
              </m:r>
            </m:sub>
          </m:sSub>
          <m:r>
            <m:t> </m:t>
          </m:r>
          <m:r>
            <m:rPr>
              <m:nor/>
              <m:sty m:val="p"/>
            </m:rPr>
            <m:t>where</m:t>
          </m:r>
          <m:r>
            <m:t> </m:t>
          </m:r>
          <m:sSub>
            <m:e>
              <m:r>
                <m:t>z</m:t>
              </m:r>
            </m:e>
            <m:sub>
              <m:r>
                <m:t>i</m:t>
              </m:r>
            </m:sub>
          </m:sSub>
          <m:r>
            <m:rPr>
              <m:sty m:val="p"/>
            </m:rPr>
            <m:t>=</m:t>
          </m:r>
          <m:f>
            <m:fPr>
              <m:type m:val="bar"/>
            </m:fPr>
            <m:num>
              <m:sSub>
                <m:e>
                  <m:r>
                    <m:t>Y</m:t>
                  </m:r>
                </m:e>
                <m:sub>
                  <m:r>
                    <m:t>i</m:t>
                  </m:r>
                </m:sub>
              </m:sSub>
              <m:r>
                <m:rPr>
                  <m:sty m:val="p"/>
                </m:rPr>
                <m:t>−</m:t>
              </m:r>
              <m:r>
                <m:t>μ</m:t>
              </m:r>
            </m:num>
            <m:den>
              <m:r>
                <m:t>V</m:t>
              </m:r>
              <m:d>
                <m:dPr>
                  <m:begChr m:val="["/>
                  <m:endChr m:val="]"/>
                  <m:sepChr m:val=""/>
                  <m:grow/>
                </m:dPr>
                <m:e>
                  <m:sSub>
                    <m:e>
                      <m:r>
                        <m:t>Y</m:t>
                      </m:r>
                    </m:e>
                    <m:sub>
                      <m:r>
                        <m:t>i</m:t>
                      </m:r>
                    </m:sub>
                  </m:sSub>
                </m:e>
              </m:d>
            </m:den>
          </m:f>
        </m:oMath>
      </m:oMathPara>
    </w:p>
    <w:p>
      <w:pPr>
        <w:numPr>
          <w:ilvl w:val="0"/>
          <w:numId w:val="1037"/>
        </w:numPr>
        <w:pStyle w:val="Compact"/>
      </w:pPr>
      <w:r>
        <w:t xml:space="preserve">Intuitive idea: set</w:t>
      </w:r>
      <w:r>
        <w:t xml:space="preserve"> </w:t>
      </w:r>
      <m:oMath>
        <m:sSub>
          <m:e>
            <m:r>
              <m:t>w</m:t>
            </m:r>
          </m:e>
          <m:sub>
            <m:r>
              <m:t>i</m:t>
            </m:r>
          </m:sub>
        </m:sSub>
        <m:r>
          <m:rPr>
            <m:sty m:val="p"/>
          </m:rPr>
          <m:t>=</m:t>
        </m:r>
        <m:r>
          <m:t>0</m:t>
        </m:r>
      </m:oMath>
      <w:r>
        <w:t xml:space="preserve"> </w:t>
      </w:r>
      <w:r>
        <w:t xml:space="preserve">for items with DIF</w:t>
      </w:r>
    </w:p>
    <w:p>
      <w:pPr>
        <w:numPr>
          <w:ilvl w:val="1"/>
          <w:numId w:val="1038"/>
        </w:numPr>
        <w:pStyle w:val="Compact"/>
      </w:pPr>
      <w:r>
        <w:t xml:space="preserve">i.e.,</w:t>
      </w:r>
      <w:r>
        <w:t xml:space="preserve"> </w:t>
      </w:r>
      <w:r>
        <w:t xml:space="preserve">“</w:t>
      </w:r>
      <w:r>
        <w:t xml:space="preserve">flag</w:t>
      </w:r>
      <w:r>
        <w:t xml:space="preserve">”</w:t>
      </w:r>
      <w:r>
        <w:t xml:space="preserve"> </w:t>
      </w:r>
      <w:r>
        <w:t xml:space="preserve">items with DIF while estimating</w:t>
      </w:r>
      <w:r>
        <w:t xml:space="preserve"> </w:t>
      </w:r>
      <m:oMath>
        <m:r>
          <m:t>μ</m:t>
        </m:r>
      </m:oMath>
    </w:p>
    <w:bookmarkEnd w:id="56"/>
    <w:bookmarkStart w:id="60" w:name="weight-function-tukeys-bisquare"/>
    <w:p>
      <w:pPr>
        <w:pStyle w:val="Heading2"/>
      </w:pPr>
      <w:r>
        <w:t xml:space="preserve">Weight function (Tukey’s bisquare)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50516"/>
                  <wp:effectExtent b="0" l="0" r="0" t="0"/>
                  <wp:docPr descr="" title="" id="58" name="Picture"/>
                  <a:graphic>
                    <a:graphicData uri="http://schemas.openxmlformats.org/drawingml/2006/picture">
                      <pic:pic>
                        <pic:nvPicPr>
                          <pic:cNvPr descr="bsq_plot.png" id="59" name="Picture"/>
                          <pic:cNvPicPr>
                            <a:picLocks noChangeArrowheads="1" noChangeAspect="1"/>
                          </pic:cNvPicPr>
                        </pic:nvPicPr>
                        <pic:blipFill>
                          <a:blip r:embed="rId57"/>
                          <a:stretch>
                            <a:fillRect/>
                          </a:stretch>
                        </pic:blipFill>
                        <pic:spPr bwMode="auto">
                          <a:xfrm>
                            <a:off x="0" y="0"/>
                            <a:ext cx="5334000" cy="2350516"/>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m:oMathPara>
        <m:oMathParaPr>
          <m:jc m:val="center"/>
        </m:oMathParaPr>
        <m:oMath>
          <m:sSub>
            <m:e>
              <m:r>
                <m:t>w</m:t>
              </m:r>
            </m:e>
            <m:sub>
              <m:r>
                <m:t>i</m:t>
              </m:r>
            </m:sub>
          </m:sSub>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p>
                      <m:e>
                        <m:d>
                          <m:dPr>
                            <m:begChr m:val="("/>
                            <m:endChr m:val=")"/>
                            <m:sepChr m:val=""/>
                            <m:grow/>
                          </m:dPr>
                          <m:e>
                            <m:r>
                              <m:t>1</m:t>
                            </m:r>
                            <m:r>
                              <m:rPr>
                                <m:sty m:val="p"/>
                              </m:rPr>
                              <m:t>−</m:t>
                            </m:r>
                            <m:sSup>
                              <m:e>
                                <m:d>
                                  <m:dPr>
                                    <m:begChr m:val="("/>
                                    <m:endChr m:val=")"/>
                                    <m:sepChr m:val=""/>
                                    <m:grow/>
                                  </m:dPr>
                                  <m:e>
                                    <m:f>
                                      <m:fPr>
                                        <m:type m:val="bar"/>
                                      </m:fPr>
                                      <m:num>
                                        <m:sSub>
                                          <m:e>
                                            <m:r>
                                              <m:t>z</m:t>
                                            </m:r>
                                          </m:e>
                                          <m:sub>
                                            <m:r>
                                              <m:t>i</m:t>
                                            </m:r>
                                          </m:sub>
                                        </m:sSub>
                                      </m:num>
                                      <m:den>
                                        <m:r>
                                          <m:t>k</m:t>
                                        </m:r>
                                      </m:den>
                                    </m:f>
                                  </m:e>
                                </m:d>
                              </m:e>
                              <m:sup>
                                <m:r>
                                  <m:t>2</m:t>
                                </m:r>
                              </m:sup>
                            </m:sSup>
                          </m:e>
                        </m:d>
                      </m:e>
                      <m:sup>
                        <m:r>
                          <m:t>2</m:t>
                        </m:r>
                      </m:sup>
                    </m:sSup>
                  </m:e>
                  <m:e>
                    <m:r>
                      <m:rPr>
                        <m:nor/>
                        <m:sty m:val="p"/>
                      </m:rPr>
                      <m:t> for </m:t>
                    </m:r>
                  </m:e>
                  <m:e>
                    <m:r>
                      <m:rPr>
                        <m:sty m:val="p"/>
                      </m:rPr>
                      <m:t>∣</m:t>
                    </m:r>
                    <m:sSub>
                      <m:e>
                        <m:r>
                          <m:t>z</m:t>
                        </m:r>
                      </m:e>
                      <m:sub>
                        <m:r>
                          <m:t>i</m:t>
                        </m:r>
                      </m:sub>
                    </m:sSub>
                    <m:r>
                      <m:rPr>
                        <m:sty m:val="p"/>
                      </m:rPr>
                      <m:t>∣</m:t>
                    </m:r>
                    <m:r>
                      <m:rPr>
                        <m:sty m:val="p"/>
                      </m:rPr>
                      <m:t>≤</m:t>
                    </m:r>
                    <m:r>
                      <m:t>k</m:t>
                    </m:r>
                  </m:e>
                </m:mr>
                <m:mr>
                  <m:e>
                    <m:r>
                      <m:t>0</m:t>
                    </m:r>
                  </m:e>
                  <m:e>
                    <m:r>
                      <m:rPr>
                        <m:nor/>
                        <m:sty m:val="p"/>
                      </m:rPr>
                      <m:t> for </m:t>
                    </m:r>
                  </m:e>
                  <m:e>
                    <m:r>
                      <m:rPr>
                        <m:sty m:val="p"/>
                      </m:rPr>
                      <m:t>∣</m:t>
                    </m:r>
                    <m:sSub>
                      <m:e>
                        <m:r>
                          <m:t>z</m:t>
                        </m:r>
                      </m:e>
                      <m:sub>
                        <m:r>
                          <m:t>i</m:t>
                        </m:r>
                      </m:sub>
                    </m:sSub>
                    <m:r>
                      <m:rPr>
                        <m:sty m:val="p"/>
                      </m:rPr>
                      <m:t>∣</m:t>
                    </m:r>
                    <m:r>
                      <m:rPr>
                        <m:sty m:val="p"/>
                      </m:rPr>
                      <m:t>&gt;</m:t>
                    </m:r>
                    <m:r>
                      <m:t>k</m:t>
                    </m:r>
                  </m:e>
                </m:mr>
              </m:m>
            </m:e>
          </m:d>
        </m:oMath>
      </m:oMathPara>
    </w:p>
    <w:p>
      <w:pPr>
        <w:numPr>
          <w:ilvl w:val="0"/>
          <w:numId w:val="1039"/>
        </w:numPr>
        <w:pStyle w:val="Compact"/>
      </w:pPr>
      <w:r>
        <w:t xml:space="preserve">If item</w:t>
      </w:r>
      <w:r>
        <w:t xml:space="preserve"> </w:t>
      </w:r>
      <m:oMath>
        <m:r>
          <m:t>i</m:t>
        </m:r>
      </m:oMath>
      <w:r>
        <w:t xml:space="preserve"> </w:t>
      </w:r>
      <w:r>
        <w:t xml:space="preserve">does not have DIF, we know</w:t>
      </w:r>
      <w:r>
        <w:t xml:space="preserve"> </w:t>
      </w:r>
      <m:oMath>
        <m:sSub>
          <m:e>
            <m:r>
              <m:t>z</m:t>
            </m:r>
          </m:e>
          <m:sub>
            <m:r>
              <m:t>i</m:t>
            </m:r>
          </m:sub>
        </m:sSub>
        <m:r>
          <m:rPr>
            <m:sty m:val="p"/>
          </m:rPr>
          <m:t>=</m:t>
        </m:r>
        <m:f>
          <m:fPr>
            <m:type m:val="bar"/>
          </m:fPr>
          <m:num>
            <m:sSub>
              <m:e>
                <m:r>
                  <m:t>Y</m:t>
                </m:r>
              </m:e>
              <m:sub>
                <m:r>
                  <m:t>i</m:t>
                </m:r>
              </m:sub>
            </m:sSub>
            <m:r>
              <m:rPr>
                <m:sty m:val="p"/>
              </m:rPr>
              <m:t>−</m:t>
            </m:r>
            <m:r>
              <m:t>μ</m:t>
            </m:r>
          </m:num>
          <m:den>
            <m:r>
              <m:t>V</m:t>
            </m:r>
            <m:d>
              <m:dPr>
                <m:begChr m:val="["/>
                <m:endChr m:val="]"/>
                <m:sepChr m:val=""/>
                <m:grow/>
              </m:dPr>
              <m:e>
                <m:sSub>
                  <m:e>
                    <m:r>
                      <m:t>Y</m:t>
                    </m:r>
                  </m:e>
                  <m:sub>
                    <m:r>
                      <m:t>i</m:t>
                    </m:r>
                  </m:sub>
                </m:sSub>
              </m:e>
            </m:d>
          </m:den>
        </m:f>
        <m:r>
          <m:rPr>
            <m:sty m:val="p"/>
          </m:rPr>
          <m:t>∼</m:t>
        </m:r>
        <m:r>
          <m:t>N</m:t>
        </m:r>
        <m:d>
          <m:dPr>
            <m:begChr m:val="("/>
            <m:endChr m:val=")"/>
            <m:sepChr m:val=""/>
            <m:grow/>
          </m:dPr>
          <m:e>
            <m:r>
              <m:t>0</m:t>
            </m:r>
            <m:r>
              <m:rPr>
                <m:sty m:val="p"/>
              </m:rPr>
              <m:t>,</m:t>
            </m:r>
            <m:r>
              <m:t>1</m:t>
            </m:r>
          </m:e>
        </m:d>
      </m:oMath>
    </w:p>
    <w:p>
      <w:pPr>
        <w:numPr>
          <w:ilvl w:val="0"/>
          <w:numId w:val="1039"/>
        </w:numPr>
        <w:pStyle w:val="Compact"/>
      </w:pPr>
      <w:r>
        <w:t xml:space="preserve">Choose per item tuning parameter</w:t>
      </w:r>
      <w:r>
        <w:t xml:space="preserve"> </w:t>
      </w:r>
      <m:oMath>
        <m:sSub>
          <m:e>
            <m:r>
              <m:t>k</m:t>
            </m:r>
          </m:e>
          <m:sub>
            <m:r>
              <m:t>i</m:t>
            </m:r>
          </m:sub>
        </m:sSub>
      </m:oMath>
      <w:r>
        <w:t xml:space="preserve"> </w:t>
      </w:r>
      <w:r>
        <w:t xml:space="preserve">based on desired Type I error rate for testing DIF</w:t>
      </w:r>
    </w:p>
    <w:p>
      <w:pPr>
        <w:numPr>
          <w:ilvl w:val="0"/>
          <w:numId w:val="1039"/>
        </w:numPr>
        <w:pStyle w:val="Compact"/>
      </w:pPr>
      <w:r>
        <w:t xml:space="preserve">Result:</w:t>
      </w:r>
      <w:r>
        <w:t xml:space="preserve"> </w:t>
      </w:r>
      <m:oMath>
        <m:r>
          <m:t>w</m:t>
        </m:r>
        <m:r>
          <m:rPr>
            <m:sty m:val="p"/>
          </m:rPr>
          <m:t>=</m:t>
        </m:r>
        <m:r>
          <m:t>0</m:t>
        </m:r>
      </m:oMath>
      <w:r>
        <w:t xml:space="preserve"> </w:t>
      </w:r>
      <w:r>
        <w:t xml:space="preserve">if item is outside of 95% confidence interval for</w:t>
      </w:r>
      <w:r>
        <w:t xml:space="preserve"> </w:t>
      </w:r>
      <w:r>
        <w:t xml:space="preserve">“</w:t>
      </w:r>
      <w:r>
        <w:t xml:space="preserve">no DIF</w:t>
      </w:r>
      <w:r>
        <w:t xml:space="preserve">”</w:t>
      </w:r>
    </w:p>
    <w:bookmarkEnd w:id="60"/>
    <w:bookmarkStart w:id="61" w:name="robust-scaling-in-practice"/>
    <w:p>
      <w:pPr>
        <w:pStyle w:val="Heading2"/>
      </w:pPr>
      <w:r>
        <w:t xml:space="preserve">Robust scaling: In practice</w:t>
      </w:r>
    </w:p>
    <w:p>
      <w:pPr>
        <w:numPr>
          <w:ilvl w:val="0"/>
          <w:numId w:val="1040"/>
        </w:numPr>
        <w:pStyle w:val="Compact"/>
      </w:pPr>
      <w:r>
        <w:t xml:space="preserve">Step 1. Maximum likelihood estimation of a focal psychometric model</w:t>
      </w:r>
    </w:p>
    <w:p>
      <w:pPr>
        <w:numPr>
          <w:ilvl w:val="1"/>
          <w:numId w:val="1041"/>
        </w:numPr>
        <w:pStyle w:val="Compact"/>
      </w:pPr>
      <w:r>
        <w:t xml:space="preserve">Estimate separately in both groups, or use configural model</w:t>
      </w:r>
    </w:p>
    <w:p>
      <w:pPr>
        <w:numPr>
          <w:ilvl w:val="0"/>
          <w:numId w:val="1040"/>
        </w:numPr>
        <w:pStyle w:val="Compact"/>
      </w:pPr>
      <w:r>
        <w:t xml:space="preserve">Step 2. Extract model parameter estimates and their standard errors</w:t>
      </w:r>
    </w:p>
    <w:p>
      <w:pPr>
        <w:numPr>
          <w:ilvl w:val="0"/>
          <w:numId w:val="1040"/>
        </w:numPr>
        <w:pStyle w:val="Compact"/>
      </w:pPr>
      <w:r>
        <w:t xml:space="preserve">Step 3. Robust scaling is implemented as a post-estimation step to</w:t>
      </w:r>
    </w:p>
    <w:p>
      <w:pPr>
        <w:numPr>
          <w:ilvl w:val="1"/>
          <w:numId w:val="1042"/>
        </w:numPr>
        <w:pStyle w:val="Compact"/>
      </w:pPr>
      <w:r>
        <w:t xml:space="preserve">Provide an estimate of impact that is robust to DIF</w:t>
      </w:r>
    </w:p>
    <w:p>
      <w:pPr>
        <w:numPr>
          <w:ilvl w:val="1"/>
          <w:numId w:val="1042"/>
        </w:numPr>
        <w:pStyle w:val="Compact"/>
      </w:pPr>
      <w:r>
        <w:t xml:space="preserve">Flag item parameters with DIF at the desired Type I Error rate</w:t>
      </w:r>
    </w:p>
    <w:p>
      <w:pPr>
        <w:numPr>
          <w:ilvl w:val="0"/>
          <w:numId w:val="1040"/>
        </w:numPr>
        <w:pStyle w:val="Compact"/>
      </w:pPr>
      <w:r>
        <w:t xml:space="preserve">Step 4. Follow-up chi-square (Wald) tests for item-level DIF</w:t>
      </w:r>
    </w:p>
    <w:p>
      <w:pPr>
        <w:numPr>
          <w:ilvl w:val="0"/>
          <w:numId w:val="1040"/>
        </w:numPr>
        <w:pStyle w:val="Compact"/>
      </w:pPr>
      <w:r>
        <w:t xml:space="preserve">…</w:t>
      </w:r>
    </w:p>
    <w:bookmarkEnd w:id="61"/>
    <w:bookmarkStart w:id="62" w:name="robust-scaling-additional-details"/>
    <w:p>
      <w:pPr>
        <w:pStyle w:val="Heading2"/>
      </w:pPr>
      <w:r>
        <w:t xml:space="preserve">Robust scaling: Additional details</w:t>
      </w:r>
    </w:p>
    <w:p>
      <w:pPr>
        <w:numPr>
          <w:ilvl w:val="0"/>
          <w:numId w:val="1043"/>
        </w:numPr>
      </w:pPr>
      <w:r>
        <w:t xml:space="preserve">The approach does not require specification of anchor items</w:t>
      </w:r>
    </w:p>
    <w:p>
      <w:pPr>
        <w:numPr>
          <w:ilvl w:val="0"/>
          <w:numId w:val="1043"/>
        </w:numPr>
      </w:pPr>
      <w:r>
        <w:t xml:space="preserve">Theoretical results guarantee that the procedure can tolerate up 50% of items with DIF</w:t>
      </w:r>
    </w:p>
    <w:p>
      <w:pPr>
        <w:numPr>
          <w:ilvl w:val="1"/>
          <w:numId w:val="1044"/>
        </w:numPr>
        <w:pStyle w:val="Compact"/>
      </w:pPr>
      <w:r>
        <w:t xml:space="preserve">Traditional methods that use anchors fail at &lt; 25%</w:t>
      </w:r>
    </w:p>
    <w:p>
      <w:pPr>
        <w:numPr>
          <w:ilvl w:val="0"/>
          <w:numId w:val="1043"/>
        </w:numPr>
      </w:pPr>
      <w:r>
        <w:t xml:space="preserve">Data simulation results show that it performs well compared to other methods</w:t>
      </w:r>
    </w:p>
    <w:bookmarkEnd w:id="62"/>
    <w:bookmarkStart w:id="63" w:name="a-simulation-study"/>
    <w:p>
      <w:pPr>
        <w:pStyle w:val="Heading2"/>
      </w:pPr>
      <w:r>
        <w:t xml:space="preserve">A simulation study</w:t>
      </w:r>
    </w:p>
    <w:p>
      <w:pPr>
        <w:numPr>
          <w:ilvl w:val="0"/>
          <w:numId w:val="1045"/>
        </w:numPr>
      </w:pPr>
      <w:r>
        <w:t xml:space="preserve">2PL in two groups, DIF in item difficulty only</w:t>
      </w:r>
    </w:p>
    <w:p>
      <w:pPr>
        <w:numPr>
          <w:ilvl w:val="0"/>
          <w:numId w:val="1045"/>
        </w:numPr>
      </w:pPr>
      <w:r>
        <w:t xml:space="preserve">DIF on item difficulties (intercepts) only (</w:t>
      </w:r>
      <m:oMath>
        <m:sSub>
          <m:e>
            <m:r>
              <m:t>Δ</m:t>
            </m:r>
          </m:e>
          <m:sub>
            <m:r>
              <m:t>i</m:t>
            </m:r>
          </m:sub>
        </m:sSub>
        <m:r>
          <m:rPr>
            <m:sty m:val="p"/>
          </m:rPr>
          <m:t>=</m:t>
        </m:r>
        <m:r>
          <m:t>.5</m:t>
        </m:r>
      </m:oMath>
      <w:r>
        <w:t xml:space="preserve">)</w:t>
      </w:r>
    </w:p>
    <w:p>
      <w:pPr>
        <w:numPr>
          <w:ilvl w:val="0"/>
          <w:numId w:val="1045"/>
        </w:numPr>
      </w:pPr>
      <w:r>
        <w:t xml:space="preserve">Impact on mean only (</w:t>
      </w:r>
      <m:oMath>
        <m:sSub>
          <m:e>
            <m:r>
              <m:t>μ</m:t>
            </m:r>
          </m:e>
          <m:sub>
            <m:r>
              <m:t>1</m:t>
            </m:r>
          </m:sub>
        </m:sSub>
        <m:r>
          <m:rPr>
            <m:sty m:val="p"/>
          </m:rPr>
          <m:t>=</m:t>
        </m:r>
        <m:r>
          <m:t>.5</m:t>
        </m:r>
      </m:oMath>
      <w:r>
        <w:t xml:space="preserve">)</w:t>
      </w:r>
    </w:p>
    <w:p>
      <w:pPr>
        <w:numPr>
          <w:ilvl w:val="0"/>
          <w:numId w:val="1045"/>
        </w:numPr>
      </w:pPr>
      <w:r>
        <w:t xml:space="preserve">Focal factors</w:t>
      </w:r>
    </w:p>
    <w:p>
      <w:pPr>
        <w:numPr>
          <w:ilvl w:val="1"/>
          <w:numId w:val="1046"/>
        </w:numPr>
        <w:pStyle w:val="Compact"/>
      </w:pPr>
      <w:r>
        <w:t xml:space="preserve">Number of items with DIF: 0 to</w:t>
      </w:r>
      <w:r>
        <w:t xml:space="preserve"> </w:t>
      </w:r>
      <m:oMath>
        <m:r>
          <m:t>8</m:t>
        </m:r>
        <m:r>
          <m:rPr>
            <m:sty m:val="p"/>
          </m:rPr>
          <m:t>/</m:t>
        </m:r>
        <m:r>
          <m:t>15</m:t>
        </m:r>
      </m:oMath>
      <w:r>
        <w:t xml:space="preserve">, randomly selected</w:t>
      </w:r>
    </w:p>
    <w:p>
      <w:pPr>
        <w:numPr>
          <w:ilvl w:val="1"/>
          <w:numId w:val="1046"/>
        </w:numPr>
        <w:pStyle w:val="Compact"/>
      </w:pPr>
      <w:r>
        <w:t xml:space="preserve">Method: LRT-DIF, Mantel-Haenszel, GPCM lasso, proposed M estimator</w:t>
      </w:r>
    </w:p>
    <w:p>
      <w:pPr>
        <w:numPr>
          <w:ilvl w:val="0"/>
          <w:numId w:val="1045"/>
        </w:numPr>
      </w:pPr>
      <w:r>
        <w:t xml:space="preserve">Design factors</w:t>
      </w:r>
    </w:p>
    <w:p>
      <w:pPr>
        <w:numPr>
          <w:ilvl w:val="1"/>
          <w:numId w:val="1047"/>
        </w:numPr>
        <w:pStyle w:val="Compact"/>
      </w:pPr>
      <m:oMath>
        <m:r>
          <m:t>R</m:t>
        </m:r>
        <m:r>
          <m:rPr>
            <m:sty m:val="p"/>
          </m:rPr>
          <m:t>=</m:t>
        </m:r>
        <m:r>
          <m:t>500</m:t>
        </m:r>
      </m:oMath>
      <w:r>
        <w:t xml:space="preserve"> </w:t>
      </w:r>
      <w:r>
        <w:t xml:space="preserve">reps per number of biased items</w:t>
      </w:r>
    </w:p>
    <w:p>
      <w:pPr>
        <w:numPr>
          <w:ilvl w:val="1"/>
          <w:numId w:val="1047"/>
        </w:numPr>
        <w:pStyle w:val="Compact"/>
      </w:pPr>
      <m:oMath>
        <m:r>
          <m:t>N</m:t>
        </m:r>
        <m:r>
          <m:rPr>
            <m:sty m:val="p"/>
          </m:rPr>
          <m:t>=</m:t>
        </m:r>
        <m:r>
          <m:t>500</m:t>
        </m:r>
      </m:oMath>
      <w:r>
        <w:t xml:space="preserve"> </w:t>
      </w:r>
      <w:r>
        <w:t xml:space="preserve">person per group</w:t>
      </w:r>
    </w:p>
    <w:p>
      <w:pPr>
        <w:numPr>
          <w:ilvl w:val="1"/>
          <w:numId w:val="1047"/>
        </w:numPr>
        <w:pStyle w:val="Compact"/>
      </w:pPr>
      <m:oMath>
        <m:r>
          <m:t>I</m:t>
        </m:r>
        <m:r>
          <m:rPr>
            <m:sty m:val="p"/>
          </m:rPr>
          <m:t>=</m:t>
        </m:r>
        <m:r>
          <m:t>15</m:t>
        </m:r>
      </m:oMath>
      <w:r>
        <w:t xml:space="preserve"> </w:t>
      </w:r>
      <w:r>
        <w:t xml:space="preserve">items</w:t>
      </w:r>
    </w:p>
    <w:p>
      <w:pPr>
        <w:numPr>
          <w:ilvl w:val="1"/>
          <w:numId w:val="1047"/>
        </w:numPr>
        <w:pStyle w:val="Compact"/>
      </w:pPr>
      <m:oMath>
        <m:sSub>
          <m:e>
            <m:r>
              <m:t>θ</m:t>
            </m:r>
          </m:e>
          <m:sub>
            <m:r>
              <m:t>0</m:t>
            </m:r>
            <m:r>
              <m:t>j</m:t>
            </m:r>
          </m:sub>
        </m:sSub>
        <m:r>
          <m:rPr>
            <m:sty m:val="p"/>
          </m:rPr>
          <m:t>∼</m:t>
        </m:r>
        <m:r>
          <m:t>N</m:t>
        </m:r>
        <m:d>
          <m:dPr>
            <m:begChr m:val="("/>
            <m:endChr m:val=")"/>
            <m:sepChr m:val=""/>
            <m:grow/>
          </m:dPr>
          <m:e>
            <m:r>
              <m:t>0</m:t>
            </m:r>
            <m:r>
              <m:rPr>
                <m:sty m:val="p"/>
              </m:rPr>
              <m:t>,</m:t>
            </m:r>
            <m:r>
              <m:t>1</m:t>
            </m:r>
          </m:e>
        </m:d>
      </m:oMath>
      <w:r>
        <w:t xml:space="preserve">;</w:t>
      </w:r>
      <w:r>
        <w:t xml:space="preserve"> </w:t>
      </w:r>
      <m:oMath>
        <m:sSub>
          <m:e>
            <m:r>
              <m:t>θ</m:t>
            </m:r>
          </m:e>
          <m:sub>
            <m:r>
              <m:t>1</m:t>
            </m:r>
            <m:r>
              <m:t>j</m:t>
            </m:r>
          </m:sub>
        </m:sSub>
        <m:r>
          <m:rPr>
            <m:sty m:val="p"/>
          </m:rPr>
          <m:t>∼</m:t>
        </m:r>
        <m:r>
          <m:t>N</m:t>
        </m:r>
        <m:d>
          <m:dPr>
            <m:begChr m:val="("/>
            <m:endChr m:val=")"/>
            <m:sepChr m:val=""/>
            <m:grow/>
          </m:dPr>
          <m:e>
            <m:r>
              <m:t>.5</m:t>
            </m:r>
            <m:r>
              <m:rPr>
                <m:sty m:val="p"/>
              </m:rPr>
              <m:t>,</m:t>
            </m:r>
            <m:r>
              <m:t>1</m:t>
            </m:r>
          </m:e>
        </m:d>
      </m:oMath>
    </w:p>
    <w:p>
      <w:pPr>
        <w:numPr>
          <w:ilvl w:val="1"/>
          <w:numId w:val="1047"/>
        </w:numPr>
        <w:pStyle w:val="Compact"/>
      </w:pPr>
      <m:oMath>
        <m:sSub>
          <m:e>
            <m:r>
              <m:t>a</m:t>
            </m:r>
          </m:e>
          <m:sub>
            <m:r>
              <m:t>0</m:t>
            </m:r>
            <m:r>
              <m:t>i</m:t>
            </m:r>
          </m:sub>
        </m:sSub>
        <m:r>
          <m:rPr>
            <m:sty m:val="p"/>
          </m:rPr>
          <m:t>∼</m:t>
        </m:r>
        <m:r>
          <m:t>U</m:t>
        </m:r>
        <m:d>
          <m:dPr>
            <m:begChr m:val="("/>
            <m:endChr m:val=")"/>
            <m:sepChr m:val=""/>
            <m:grow/>
          </m:dPr>
          <m:e>
            <m:r>
              <m:t>.9</m:t>
            </m:r>
            <m:r>
              <m:rPr>
                <m:sty m:val="p"/>
              </m:rPr>
              <m:t>,</m:t>
            </m:r>
            <m:r>
              <m:t>2.5</m:t>
            </m:r>
          </m:e>
        </m:d>
      </m:oMath>
      <w:r>
        <w:t xml:space="preserve">;</w:t>
      </w:r>
      <w:r>
        <w:t xml:space="preserve"> </w:t>
      </w:r>
      <m:oMath>
        <m:sSub>
          <m:e>
            <m:r>
              <m:t>a</m:t>
            </m:r>
          </m:e>
          <m:sub>
            <m:r>
              <m:t>1</m:t>
            </m:r>
            <m:r>
              <m:t>i</m:t>
            </m:r>
          </m:sub>
        </m:sSub>
        <m:r>
          <m:rPr>
            <m:sty m:val="p"/>
          </m:rPr>
          <m:t>=</m:t>
        </m:r>
        <m:sSub>
          <m:e>
            <m:r>
              <m:t>a</m:t>
            </m:r>
          </m:e>
          <m:sub>
            <m:r>
              <m:t>0</m:t>
            </m:r>
            <m:r>
              <m:t>i</m:t>
            </m:r>
          </m:sub>
        </m:sSub>
      </m:oMath>
    </w:p>
    <w:p>
      <w:pPr>
        <w:numPr>
          <w:ilvl w:val="1"/>
          <w:numId w:val="1047"/>
        </w:numPr>
        <w:pStyle w:val="Compact"/>
      </w:pPr>
      <m:oMath>
        <m:sSub>
          <m:e>
            <m:r>
              <m:t>b</m:t>
            </m:r>
          </m:e>
          <m:sub>
            <m:r>
              <m:t>0</m:t>
            </m:r>
            <m:r>
              <m:t>i</m:t>
            </m:r>
          </m:sub>
        </m:sSub>
        <m:r>
          <m:rPr>
            <m:sty m:val="p"/>
          </m:rPr>
          <m:t>∼</m:t>
        </m:r>
        <m:r>
          <m:t>U</m:t>
        </m:r>
        <m:d>
          <m:dPr>
            <m:begChr m:val="("/>
            <m:endChr m:val=")"/>
            <m:sepChr m:val=""/>
            <m:grow/>
          </m:dPr>
          <m:e>
            <m:r>
              <m:rPr>
                <m:sty m:val="p"/>
              </m:rPr>
              <m:t>−</m:t>
            </m:r>
            <m:r>
              <m:t>1.5</m:t>
            </m:r>
            <m:r>
              <m:rPr>
                <m:sty m:val="p"/>
              </m:rPr>
              <m:t>,</m:t>
            </m:r>
            <m:r>
              <m:t>1.5</m:t>
            </m:r>
          </m:e>
        </m:d>
        <m:r>
          <m:rPr>
            <m:sty m:val="p"/>
          </m:rPr>
          <m:t>;</m:t>
        </m:r>
        <m:sSub>
          <m:e>
            <m:r>
              <m:t>b</m:t>
            </m:r>
          </m:e>
          <m:sub>
            <m:r>
              <m:t>1</m:t>
            </m:r>
            <m:r>
              <m:t>i</m:t>
            </m:r>
          </m:sub>
        </m:sSub>
        <m:r>
          <m:rPr>
            <m:sty m:val="p"/>
          </m:rPr>
          <m:t>=</m:t>
        </m:r>
        <m:sSub>
          <m:e>
            <m:r>
              <m:t>b</m:t>
            </m:r>
          </m:e>
          <m:sub>
            <m:r>
              <m:t>0</m:t>
            </m:r>
            <m:r>
              <m:t>i</m:t>
            </m:r>
          </m:sub>
        </m:sSub>
        <m:r>
          <m:rPr>
            <m:sty m:val="p"/>
          </m:rPr>
          <m:t>+</m:t>
        </m:r>
        <m:sSub>
          <m:e>
            <m:r>
              <m:t>Δ</m:t>
            </m:r>
          </m:e>
          <m:sub>
            <m:r>
              <m:t>i</m:t>
            </m:r>
          </m:sub>
        </m:sSub>
        <m:r>
          <m:rPr>
            <m:sty m:val="p"/>
          </m:rPr>
          <m:t>;</m:t>
        </m:r>
        <m:sSub>
          <m:e>
            <m:r>
              <m:t>Δ</m:t>
            </m:r>
          </m:e>
          <m:sub>
            <m:r>
              <m:t>i</m:t>
            </m:r>
          </m:sub>
        </m:sSub>
        <m:r>
          <m:rPr>
            <m:sty m:val="p"/>
          </m:rPr>
          <m:t>∈</m:t>
        </m:r>
        <m:r>
          <m:rPr>
            <m:sty m:val="p"/>
          </m:rPr>
          <m:t>{</m:t>
        </m:r>
        <m:r>
          <m:t>0</m:t>
        </m:r>
        <m:r>
          <m:rPr>
            <m:sty m:val="p"/>
          </m:rPr>
          <m:t>,</m:t>
        </m:r>
        <m:r>
          <m:t>.5</m:t>
        </m:r>
        <m:r>
          <m:rPr>
            <m:sty m:val="p"/>
          </m:rPr>
          <m:t>}</m:t>
        </m:r>
        <m:r>
          <m:rPr>
            <m:sty m:val="p"/>
          </m:rPr>
          <m:t>;</m:t>
        </m:r>
        <m:sSub>
          <m:e>
            <m:r>
              <m:t>d</m:t>
            </m:r>
          </m:e>
          <m:sub>
            <m:r>
              <m:t>g</m:t>
            </m:r>
            <m:r>
              <m:t>i</m:t>
            </m:r>
          </m:sub>
        </m:sSub>
        <m:r>
          <m:rPr>
            <m:sty m:val="p"/>
          </m:rPr>
          <m:t>=</m:t>
        </m:r>
        <m:sSub>
          <m:e>
            <m:r>
              <m:t>b</m:t>
            </m:r>
          </m:e>
          <m:sub>
            <m:r>
              <m:t>g</m:t>
            </m:r>
            <m:r>
              <m:t>i</m:t>
            </m:r>
          </m:sub>
        </m:sSub>
        <m:r>
          <m:rPr>
            <m:sty m:val="p"/>
          </m:rPr>
          <m:t>×</m:t>
        </m:r>
        <m:sSub>
          <m:e>
            <m:r>
              <m:t>a</m:t>
            </m:r>
          </m:e>
          <m:sub>
            <m:r>
              <m:t>g</m:t>
            </m:r>
            <m:r>
              <m:t>i</m:t>
            </m:r>
          </m:sub>
        </m:sSub>
      </m:oMath>
    </w:p>
    <w:bookmarkEnd w:id="63"/>
    <w:bookmarkStart w:id="67" w:name="simulation-results"/>
    <w:p>
      <w:pPr>
        <w:pStyle w:val="Heading2"/>
      </w:pPr>
      <w:r>
        <w:t xml:space="preserve">Simulation Results</w:t>
      </w:r>
    </w:p>
    <w:p>
      <w:pPr>
        <w:pStyle w:val="FirstParagraph"/>
      </w:pPr>
      <w:r>
        <w:drawing>
          <wp:inline>
            <wp:extent cx="5334000" cy="3532978"/>
            <wp:effectExtent b="0" l="0" r="0" t="0"/>
            <wp:docPr descr="" title="" id="65" name="Picture"/>
            <a:graphic>
              <a:graphicData uri="http://schemas.openxmlformats.org/drawingml/2006/picture">
                <pic:pic>
                  <pic:nvPicPr>
                    <pic:cNvPr descr="fp_tp.jpg" id="66" name="Picture"/>
                    <pic:cNvPicPr>
                      <a:picLocks noChangeArrowheads="1" noChangeAspect="1"/>
                    </pic:cNvPicPr>
                  </pic:nvPicPr>
                  <pic:blipFill>
                    <a:blip r:embed="rId64"/>
                    <a:stretch>
                      <a:fillRect/>
                    </a:stretch>
                  </pic:blipFill>
                  <pic:spPr bwMode="auto">
                    <a:xfrm>
                      <a:off x="0" y="0"/>
                      <a:ext cx="5334000" cy="3532978"/>
                    </a:xfrm>
                    <a:prstGeom prst="rect">
                      <a:avLst/>
                    </a:prstGeom>
                    <a:noFill/>
                    <a:ln w="9525">
                      <a:noFill/>
                      <a:headEnd/>
                      <a:tailEnd/>
                    </a:ln>
                  </pic:spPr>
                </pic:pic>
              </a:graphicData>
            </a:graphic>
          </wp:inline>
        </w:drawing>
      </w:r>
    </w:p>
    <w:bookmarkEnd w:id="67"/>
    <w:bookmarkStart w:id="71" w:name="simulation-results-1"/>
    <w:p>
      <w:pPr>
        <w:pStyle w:val="Heading2"/>
      </w:pPr>
      <w:r>
        <w:t xml:space="preserve">Simulation Results</w:t>
      </w:r>
    </w:p>
    <w:p>
      <w:pPr>
        <w:pStyle w:val="FirstParagraph"/>
      </w:pPr>
      <w:r>
        <w:drawing>
          <wp:inline>
            <wp:extent cx="5334000" cy="3532978"/>
            <wp:effectExtent b="0" l="0" r="0" t="0"/>
            <wp:docPr descr="" title="" id="69" name="Picture"/>
            <a:graphic>
              <a:graphicData uri="http://schemas.openxmlformats.org/drawingml/2006/picture">
                <pic:pic>
                  <pic:nvPicPr>
                    <pic:cNvPr descr="bias.jpg" id="70" name="Picture"/>
                    <pic:cNvPicPr>
                      <a:picLocks noChangeArrowheads="1" noChangeAspect="1"/>
                    </pic:cNvPicPr>
                  </pic:nvPicPr>
                  <pic:blipFill>
                    <a:blip r:embed="rId68"/>
                    <a:stretch>
                      <a:fillRect/>
                    </a:stretch>
                  </pic:blipFill>
                  <pic:spPr bwMode="auto">
                    <a:xfrm>
                      <a:off x="0" y="0"/>
                      <a:ext cx="5334000" cy="3532978"/>
                    </a:xfrm>
                    <a:prstGeom prst="rect">
                      <a:avLst/>
                    </a:prstGeom>
                    <a:noFill/>
                    <a:ln w="9525">
                      <a:noFill/>
                      <a:headEnd/>
                      <a:tailEnd/>
                    </a:ln>
                  </pic:spPr>
                </pic:pic>
              </a:graphicData>
            </a:graphic>
          </wp:inline>
        </w:drawing>
      </w:r>
    </w:p>
    <w:bookmarkEnd w:id="71"/>
    <w:bookmarkStart w:id="75" w:name="simulation-results-2"/>
    <w:p>
      <w:pPr>
        <w:pStyle w:val="Heading2"/>
      </w:pPr>
      <w:r>
        <w:t xml:space="preserve">Simulation Results</w:t>
      </w:r>
    </w:p>
    <w:p>
      <w:pPr>
        <w:pStyle w:val="FirstParagraph"/>
      </w:pPr>
      <w:r>
        <w:drawing>
          <wp:inline>
            <wp:extent cx="5334000" cy="3532978"/>
            <wp:effectExtent b="0" l="0" r="0" t="0"/>
            <wp:docPr descr="" title="" id="73" name="Picture"/>
            <a:graphic>
              <a:graphicData uri="http://schemas.openxmlformats.org/drawingml/2006/picture">
                <pic:pic>
                  <pic:nvPicPr>
                    <pic:cNvPr descr="bsq_bias.jpg" id="74" name="Picture"/>
                    <pic:cNvPicPr>
                      <a:picLocks noChangeArrowheads="1" noChangeAspect="1"/>
                    </pic:cNvPicPr>
                  </pic:nvPicPr>
                  <pic:blipFill>
                    <a:blip r:embed="rId72"/>
                    <a:stretch>
                      <a:fillRect/>
                    </a:stretch>
                  </pic:blipFill>
                  <pic:spPr bwMode="auto">
                    <a:xfrm>
                      <a:off x="0" y="0"/>
                      <a:ext cx="5334000" cy="3532978"/>
                    </a:xfrm>
                    <a:prstGeom prst="rect">
                      <a:avLst/>
                    </a:prstGeom>
                    <a:noFill/>
                    <a:ln w="9525">
                      <a:noFill/>
                      <a:headEnd/>
                      <a:tailEnd/>
                    </a:ln>
                  </pic:spPr>
                </pic:pic>
              </a:graphicData>
            </a:graphic>
          </wp:inline>
        </w:drawing>
      </w:r>
    </w:p>
    <w:bookmarkEnd w:id="75"/>
    <w:bookmarkEnd w:id="76"/>
    <w:bookmarkStart w:id="88" w:name="example"/>
    <w:p>
      <w:pPr>
        <w:pStyle w:val="Heading1"/>
      </w:pPr>
      <w:r>
        <w:t xml:space="preserve">Example</w:t>
      </w:r>
    </w:p>
    <w:bookmarkStart w:id="77" w:name="getting-set-up-with-r"/>
    <w:p>
      <w:pPr>
        <w:pStyle w:val="Heading2"/>
      </w:pPr>
      <w:r>
        <w:t xml:space="preserve">Getting set up with R</w:t>
      </w:r>
    </w:p>
    <w:p>
      <w:pPr>
        <w:numPr>
          <w:ilvl w:val="0"/>
          <w:numId w:val="1048"/>
        </w:numPr>
        <w:pStyle w:val="Compact"/>
      </w:pPr>
      <w:r>
        <w:rPr>
          <w:rStyle w:val="VerbatimChar"/>
        </w:rPr>
        <w:t xml:space="preserve">robustDIF</w:t>
      </w:r>
      <w:r>
        <w:t xml:space="preserve"> </w:t>
      </w:r>
      <w:r>
        <w:t xml:space="preserve">package has been updated recently, so let’s re-install now</w:t>
      </w:r>
    </w:p>
    <w:p>
      <w:pPr>
        <w:pStyle w:val="SourceCode"/>
      </w:pPr>
      <w:r>
        <w:rPr>
          <w:rStyle w:val="VerbatimChar"/>
        </w:rPr>
        <w:t xml:space="preserve">Loading required package: Matrix</w:t>
      </w:r>
    </w:p>
    <w:p>
      <w:pPr>
        <w:pStyle w:val="SourceCode"/>
      </w:pPr>
      <w:r>
        <w:rPr>
          <w:rStyle w:val="CommentTok"/>
        </w:rPr>
        <w:t xml:space="preserve"># installer for github </w:t>
      </w:r>
      <w:r>
        <w:br/>
      </w:r>
      <w:r>
        <w:rPr>
          <w:rStyle w:val="FunctionTok"/>
        </w:rPr>
        <w:t xml:space="preserve">install.packages</w:t>
      </w:r>
      <w:r>
        <w:rPr>
          <w:rStyle w:val="NormalTok"/>
        </w:rPr>
        <w:t xml:space="preserve">(remotes)</w:t>
      </w:r>
      <w:r>
        <w:br/>
      </w:r>
      <w:r>
        <w:br/>
      </w:r>
      <w:r>
        <w:rPr>
          <w:rStyle w:val="CommentTok"/>
        </w:rPr>
        <w:t xml:space="preserve"># install robustDIF from github</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"peterhalpin/robustDIF"</w:t>
      </w:r>
      <w:r>
        <w:rPr>
          <w:rStyle w:val="NormalTok"/>
        </w:rPr>
        <w:t xml:space="preserve">)</w:t>
      </w:r>
      <w:r>
        <w:br/>
      </w:r>
      <w:r>
        <w:br/>
      </w:r>
      <w:r>
        <w:rPr>
          <w:rStyle w:val="CommentTok"/>
        </w:rPr>
        <w:t xml:space="preserve"># load library </w:t>
      </w:r>
      <w:r>
        <w:br/>
      </w:r>
      <w:r>
        <w:rPr>
          <w:rStyle w:val="FunctionTok"/>
        </w:rPr>
        <w:t xml:space="preserve">library</w:t>
      </w:r>
      <w:r>
        <w:rPr>
          <w:rStyle w:val="NormalTok"/>
        </w:rPr>
        <w:t xml:space="preserve">(robustDIF)</w:t>
      </w:r>
    </w:p>
    <w:bookmarkEnd w:id="77"/>
    <w:bookmarkStart w:id="78" w:name="step-1.-estimate-irt-model"/>
    <w:p>
      <w:pPr>
        <w:pStyle w:val="Heading2"/>
      </w:pPr>
      <w:r>
        <w:t xml:space="preserve">Step 1. Estimate IRT model</w:t>
      </w:r>
    </w:p>
    <w:p>
      <w:pPr>
        <w:numPr>
          <w:ilvl w:val="0"/>
          <w:numId w:val="1049"/>
        </w:numPr>
        <w:pStyle w:val="Compact"/>
      </w:pPr>
      <w:r>
        <w:t xml:space="preserve">Can use configural model in</w:t>
      </w:r>
      <w:r>
        <w:t xml:space="preserve"> </w:t>
      </w:r>
      <w:r>
        <w:rPr>
          <w:rStyle w:val="VerbatimChar"/>
        </w:rPr>
        <w:t xml:space="preserve">mirt</w:t>
      </w:r>
      <w:r>
        <w:t xml:space="preserve"> </w:t>
      </w:r>
      <w:r>
        <w:t xml:space="preserve">or list of two separate fits</w:t>
      </w:r>
    </w:p>
    <w:p>
      <w:pPr>
        <w:pStyle w:val="SourceCode"/>
      </w:pPr>
      <w:r>
        <w:rPr>
          <w:rStyle w:val="VerbatimChar"/>
        </w:rPr>
        <w:t xml:space="preserve">Loading required package: stats4</w:t>
      </w:r>
    </w:p>
    <w:p>
      <w:pPr>
        <w:pStyle w:val="SourceCode"/>
      </w:pPr>
      <w:r>
        <w:rPr>
          <w:rStyle w:val="VerbatimChar"/>
        </w:rPr>
        <w:t xml:space="preserve">Loading required package: lattice</w:t>
      </w:r>
    </w:p>
    <w:p>
      <w:pPr>
        <w:pStyle w:val="SourceCode"/>
      </w:pPr>
      <w:r>
        <w:rPr>
          <w:rStyle w:val="FunctionTok"/>
        </w:rPr>
        <w:t xml:space="preserve">library</w:t>
      </w:r>
      <w:r>
        <w:rPr>
          <w:rStyle w:val="NormalTok"/>
        </w:rPr>
        <w:t xml:space="preserve">(mirt)</w:t>
      </w:r>
      <w:r>
        <w:br/>
      </w:r>
      <w:r>
        <w:br/>
      </w:r>
      <w:r>
        <w:rPr>
          <w:rStyle w:val="CommentTok"/>
        </w:rPr>
        <w:t xml:space="preserve"># Set up data for mirt</w:t>
      </w:r>
      <w:r>
        <w:br/>
      </w:r>
      <w:r>
        <w:rPr>
          <w:rStyle w:val="NormalTok"/>
        </w:rPr>
        <w:t xml:space="preserve">cint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"cint_data.csv"</w:t>
      </w:r>
      <w:r>
        <w:rPr>
          <w:rStyle w:val="NormalTok"/>
        </w:rPr>
        <w:t xml:space="preserve">)</w:t>
      </w:r>
      <w:r>
        <w:br/>
      </w:r>
      <w:r>
        <w:rPr>
          <w:rStyle w:val="NormalTok"/>
        </w:rPr>
        <w:t xml:space="preserve">depression_names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"cint1"</w:t>
      </w:r>
      <w:r>
        <w:rPr>
          <w:rStyle w:val="NormalTok"/>
        </w:rPr>
        <w:t xml:space="preserve">, </w:t>
      </w:r>
      <w:r>
        <w:rPr>
          <w:rStyle w:val="StringTok"/>
        </w:rPr>
        <w:t xml:space="preserve">"cint2"</w:t>
      </w:r>
      <w:r>
        <w:rPr>
          <w:rStyle w:val="NormalTok"/>
        </w:rPr>
        <w:t xml:space="preserve">, </w:t>
      </w:r>
      <w:r>
        <w:rPr>
          <w:rStyle w:val="StringTok"/>
        </w:rPr>
        <w:t xml:space="preserve">"cint4"</w:t>
      </w:r>
      <w:r>
        <w:rPr>
          <w:rStyle w:val="NormalTok"/>
        </w:rPr>
        <w:t xml:space="preserve">, </w:t>
      </w:r>
      <w:r>
        <w:rPr>
          <w:rStyle w:val="StringTok"/>
        </w:rPr>
        <w:t xml:space="preserve">"cint11"</w:t>
      </w:r>
      <w:r>
        <w:rPr>
          <w:rStyle w:val="NormalTok"/>
        </w:rPr>
        <w:t xml:space="preserve">, </w:t>
      </w:r>
      <w:r>
        <w:br/>
      </w:r>
      <w:r>
        <w:rPr>
          <w:rStyle w:val="NormalTok"/>
        </w:rPr>
        <w:t xml:space="preserve">                      </w:t>
      </w:r>
      <w:r>
        <w:rPr>
          <w:rStyle w:val="StringTok"/>
        </w:rPr>
        <w:t xml:space="preserve">"cint27"</w:t>
      </w:r>
      <w:r>
        <w:rPr>
          <w:rStyle w:val="NormalTok"/>
        </w:rPr>
        <w:t xml:space="preserve">, </w:t>
      </w:r>
      <w:r>
        <w:rPr>
          <w:rStyle w:val="StringTok"/>
        </w:rPr>
        <w:t xml:space="preserve">"cint28"</w:t>
      </w:r>
      <w:r>
        <w:rPr>
          <w:rStyle w:val="NormalTok"/>
        </w:rPr>
        <w:t xml:space="preserve">, </w:t>
      </w:r>
      <w:r>
        <w:rPr>
          <w:rStyle w:val="StringTok"/>
        </w:rPr>
        <w:t xml:space="preserve">"cint29"</w:t>
      </w:r>
      <w:r>
        <w:rPr>
          <w:rStyle w:val="NormalTok"/>
        </w:rPr>
        <w:t xml:space="preserve">, </w:t>
      </w:r>
      <w:r>
        <w:rPr>
          <w:rStyle w:val="StringTok"/>
        </w:rPr>
        <w:t xml:space="preserve">"cint30"</w:t>
      </w:r>
      <w:r>
        <w:rPr>
          <w:rStyle w:val="NormalTok"/>
        </w:rPr>
        <w:t xml:space="preserve">)</w:t>
      </w:r>
      <w:r>
        <w:br/>
      </w:r>
      <w:r>
        <w:rPr>
          <w:rStyle w:val="NormalTok"/>
        </w:rPr>
        <w:t xml:space="preserve">depression_items </w:t>
      </w:r>
      <w:r>
        <w:rPr>
          <w:rStyle w:val="OtherTok"/>
        </w:rPr>
        <w:t xml:space="preserve">&lt;-</w:t>
      </w:r>
      <w:r>
        <w:rPr>
          <w:rStyle w:val="NormalTok"/>
        </w:rPr>
        <w:t xml:space="preserve"> cint[, depression_names]</w:t>
      </w:r>
      <w:r>
        <w:br/>
      </w: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(cint</w:t>
      </w:r>
      <w:r>
        <w:rPr>
          <w:rStyle w:val="SpecialCharTok"/>
        </w:rPr>
        <w:t xml:space="preserve">$</w:t>
      </w:r>
      <w:r>
        <w:rPr>
          <w:rStyle w:val="NormalTok"/>
        </w:rPr>
        <w:t xml:space="preserve">cfemale)</w:t>
      </w:r>
      <w:r>
        <w:br/>
      </w:r>
      <w:r>
        <w:br/>
      </w:r>
      <w:r>
        <w:rPr>
          <w:rStyle w:val="CommentTok"/>
        </w:rPr>
        <w:t xml:space="preserve"># Estimate model (no invariance constraints)</w:t>
      </w:r>
      <w:r>
        <w:br/>
      </w:r>
      <w:r>
        <w:rPr>
          <w:rStyle w:val="NormalTok"/>
        </w:rPr>
        <w:t xml:space="preserve">config.mod </w:t>
      </w:r>
      <w:r>
        <w:rPr>
          <w:rStyle w:val="OtherTok"/>
        </w:rPr>
        <w:t xml:space="preserve">&lt;-</w:t>
      </w:r>
      <w:r>
        <w:rPr>
          <w:rStyle w:val="NormalTok"/>
        </w:rPr>
        <w:t xml:space="preserve"> </w:t>
      </w:r>
      <w:r>
        <w:rPr>
          <w:rStyle w:val="FunctionTok"/>
        </w:rPr>
        <w:t xml:space="preserve">multipleGroup</w:t>
      </w:r>
      <w:r>
        <w:rPr>
          <w:rStyle w:val="NormalTok"/>
        </w:rPr>
        <w:t xml:space="preserve">(depression_items, </w:t>
      </w:r>
      <w:r>
        <w:br/>
      </w:r>
      <w:r>
        <w:rPr>
          <w:rStyle w:val="NormalTok"/>
        </w:rPr>
        <w:t xml:space="preserve">                            </w:t>
      </w:r>
      <w:r>
        <w:rPr>
          <w:rStyle w:val="AttributeTok"/>
        </w:rPr>
        <w:t xml:space="preserve">group =</w:t>
      </w:r>
      <w:r>
        <w:rPr>
          <w:rStyle w:val="NormalTok"/>
        </w:rPr>
        <w:t xml:space="preserve"> gender, </w:t>
      </w:r>
      <w:r>
        <w:br/>
      </w:r>
      <w:r>
        <w:rPr>
          <w:rStyle w:val="NormalTok"/>
        </w:rPr>
        <w:t xml:space="preserve">                            </w:t>
      </w:r>
      <w:r>
        <w:rPr>
          <w:rStyle w:val="AttributeTok"/>
        </w:rPr>
        <w:t xml:space="preserve">itemtype =</w:t>
      </w:r>
      <w:r>
        <w:rPr>
          <w:rStyle w:val="NormalTok"/>
        </w:rPr>
        <w:t xml:space="preserve"> </w:t>
      </w:r>
      <w:r>
        <w:rPr>
          <w:rStyle w:val="StringTok"/>
        </w:rPr>
        <w:t xml:space="preserve">"graded"</w:t>
      </w:r>
      <w:r>
        <w:rPr>
          <w:rStyle w:val="NormalTok"/>
        </w:rPr>
        <w:t xml:space="preserve">, </w:t>
      </w:r>
      <w:r>
        <w:br/>
      </w:r>
      <w:r>
        <w:rPr>
          <w:rStyle w:val="NormalTok"/>
        </w:rPr>
        <w:t xml:space="preserve">                            </w:t>
      </w:r>
      <w:r>
        <w:rPr>
          <w:rStyle w:val="AttributeTok"/>
        </w:rPr>
        <w:t xml:space="preserve">SE =</w:t>
      </w:r>
      <w:r>
        <w:rPr>
          <w:rStyle w:val="NormalTok"/>
        </w:rPr>
        <w:t xml:space="preserve"> T) </w:t>
      </w:r>
      <w:r>
        <w:rPr>
          <w:rStyle w:val="CommentTok"/>
        </w:rPr>
        <w:t xml:space="preserve"># &lt;- make sure to request SEs</w:t>
      </w:r>
      <w:r>
        <w:br/>
      </w:r>
      <w:r>
        <w:br/>
      </w:r>
      <w:r>
        <w:rPr>
          <w:rStyle w:val="CommentTok"/>
        </w:rPr>
        <w:t xml:space="preserve"># Print parms (in slope-intercept format)</w:t>
      </w:r>
      <w:r>
        <w:br/>
      </w:r>
      <w:r>
        <w:rPr>
          <w:rStyle w:val="FunctionTok"/>
        </w:rPr>
        <w:t xml:space="preserve">coef</w:t>
      </w:r>
      <w:r>
        <w:rPr>
          <w:rStyle w:val="NormalTok"/>
        </w:rPr>
        <w:t xml:space="preserve">(config.mod, </w:t>
      </w:r>
      <w:r>
        <w:rPr>
          <w:rStyle w:val="AttributeTok"/>
        </w:rPr>
        <w:t xml:space="preserve">IRTpars =</w:t>
      </w:r>
      <w:r>
        <w:rPr>
          <w:rStyle w:val="NormalTok"/>
        </w:rPr>
        <w:t xml:space="preserve"> F, </w:t>
      </w:r>
      <w:r>
        <w:rPr>
          <w:rStyle w:val="AttributeTok"/>
        </w:rPr>
        <w:t xml:space="preserve">simplify=</w:t>
      </w:r>
      <w:r>
        <w:rPr>
          <w:rStyle w:val="NormalTok"/>
        </w:rPr>
        <w:t xml:space="preserve"> T)</w:t>
      </w:r>
    </w:p>
    <w:bookmarkEnd w:id="78"/>
    <w:bookmarkStart w:id="79" w:name="step-1.-estimate-irt-model-1"/>
    <w:p>
      <w:pPr>
        <w:pStyle w:val="Heading2"/>
      </w:pPr>
      <w:r>
        <w:t xml:space="preserve">Step 1. Estimate IRT model</w:t>
      </w:r>
    </w:p>
    <w:p>
      <w:pPr>
        <w:pStyle w:val="SourceCode"/>
      </w:pPr>
      <w:r>
        <w:rPr>
          <w:rStyle w:val="FunctionTok"/>
        </w:rPr>
        <w:t xml:space="preserve">coef</w:t>
      </w:r>
      <w:r>
        <w:rPr>
          <w:rStyle w:val="NormalTok"/>
        </w:rPr>
        <w:t xml:space="preserve">(config.mod, </w:t>
      </w:r>
      <w:r>
        <w:rPr>
          <w:rStyle w:val="AttributeTok"/>
        </w:rPr>
        <w:t xml:space="preserve">IRTpars =</w:t>
      </w:r>
      <w:r>
        <w:rPr>
          <w:rStyle w:val="NormalTok"/>
        </w:rPr>
        <w:t xml:space="preserve"> F, </w:t>
      </w:r>
      <w:r>
        <w:rPr>
          <w:rStyle w:val="AttributeTok"/>
        </w:rPr>
        <w:t xml:space="preserve">simplify=</w:t>
      </w:r>
      <w:r>
        <w:rPr>
          <w:rStyle w:val="NormalTok"/>
        </w:rPr>
        <w:t xml:space="preserve"> T)</w:t>
      </w:r>
    </w:p>
    <w:p>
      <w:pPr>
        <w:pStyle w:val="SourceCode"/>
      </w:pPr>
      <w:r>
        <w:rPr>
          <w:rStyle w:val="VerbatimChar"/>
        </w:rPr>
        <w:t xml:space="preserve">$`0`</w:t>
      </w:r>
      <w:r>
        <w:br/>
      </w:r>
      <w:r>
        <w:rPr>
          <w:rStyle w:val="VerbatimChar"/>
        </w:rPr>
        <w:t xml:space="preserve">$items</w:t>
      </w:r>
      <w:r>
        <w:br/>
      </w:r>
      <w:r>
        <w:rPr>
          <w:rStyle w:val="VerbatimChar"/>
        </w:rPr>
        <w:t xml:space="preserve">          a1     d1     d2     d3</w:t>
      </w:r>
      <w:r>
        <w:br/>
      </w:r>
      <w:r>
        <w:rPr>
          <w:rStyle w:val="VerbatimChar"/>
        </w:rPr>
        <w:t xml:space="preserve">cint1  1.517  2.099 -0.442 -2.866</w:t>
      </w:r>
      <w:r>
        <w:br/>
      </w:r>
      <w:r>
        <w:rPr>
          <w:rStyle w:val="VerbatimChar"/>
        </w:rPr>
        <w:t xml:space="preserve">cint2  1.323  1.100 -0.704 -2.362</w:t>
      </w:r>
      <w:r>
        <w:br/>
      </w:r>
      <w:r>
        <w:rPr>
          <w:rStyle w:val="VerbatimChar"/>
        </w:rPr>
        <w:t xml:space="preserve">cint4  1.106  1.760 -0.025 -2.130</w:t>
      </w:r>
      <w:r>
        <w:br/>
      </w:r>
      <w:r>
        <w:rPr>
          <w:rStyle w:val="VerbatimChar"/>
        </w:rPr>
        <w:t xml:space="preserve">cint11 0.931  1.723  0.249 -2.313</w:t>
      </w:r>
      <w:r>
        <w:br/>
      </w:r>
      <w:r>
        <w:rPr>
          <w:rStyle w:val="VerbatimChar"/>
        </w:rPr>
        <w:t xml:space="preserve">cint27 1.647  0.799 -0.780 -2.607</w:t>
      </w:r>
      <w:r>
        <w:br/>
      </w:r>
      <w:r>
        <w:rPr>
          <w:rStyle w:val="VerbatimChar"/>
        </w:rPr>
        <w:t xml:space="preserve">cint28 0.909  1.194 -0.312 -2.141</w:t>
      </w:r>
      <w:r>
        <w:br/>
      </w:r>
      <w:r>
        <w:rPr>
          <w:rStyle w:val="VerbatimChar"/>
        </w:rPr>
        <w:t xml:space="preserve">cint29 1.074 -0.663 -1.908 -3.528</w:t>
      </w:r>
      <w:r>
        <w:br/>
      </w:r>
      <w:r>
        <w:rPr>
          <w:rStyle w:val="VerbatimChar"/>
        </w:rPr>
        <w:t xml:space="preserve">cint30 1.101  0.766 -0.525 -2.278</w:t>
      </w:r>
      <w:r>
        <w:br/>
      </w:r>
      <w:r>
        <w:br/>
      </w:r>
      <w:r>
        <w:rPr>
          <w:rStyle w:val="VerbatimChar"/>
        </w:rPr>
        <w:t xml:space="preserve">$means</w:t>
      </w:r>
      <w:r>
        <w:br/>
      </w:r>
      <w:r>
        <w:rPr>
          <w:rStyle w:val="VerbatimChar"/>
        </w:rPr>
        <w:t xml:space="preserve">F1 </w:t>
      </w:r>
      <w:r>
        <w:br/>
      </w:r>
      <w:r>
        <w:rPr>
          <w:rStyle w:val="VerbatimChar"/>
        </w:rPr>
        <w:t xml:space="preserve"> 0 </w:t>
      </w:r>
      <w:r>
        <w:br/>
      </w:r>
      <w:r>
        <w:br/>
      </w:r>
      <w:r>
        <w:rPr>
          <w:rStyle w:val="VerbatimChar"/>
        </w:rPr>
        <w:t xml:space="preserve">$cov</w:t>
      </w:r>
      <w:r>
        <w:br/>
      </w:r>
      <w:r>
        <w:rPr>
          <w:rStyle w:val="VerbatimChar"/>
        </w:rPr>
        <w:t xml:space="preserve">   F1</w:t>
      </w:r>
      <w:r>
        <w:br/>
      </w:r>
      <w:r>
        <w:rPr>
          <w:rStyle w:val="VerbatimChar"/>
        </w:rPr>
        <w:t xml:space="preserve">F1  1</w:t>
      </w:r>
      <w:r>
        <w:br/>
      </w:r>
      <w:r>
        <w:br/>
      </w:r>
      <w:r>
        <w:br/>
      </w:r>
      <w:r>
        <w:rPr>
          <w:rStyle w:val="VerbatimChar"/>
        </w:rPr>
        <w:t xml:space="preserve">$`1`</w:t>
      </w:r>
      <w:r>
        <w:br/>
      </w:r>
      <w:r>
        <w:rPr>
          <w:rStyle w:val="VerbatimChar"/>
        </w:rPr>
        <w:t xml:space="preserve">$items</w:t>
      </w:r>
      <w:r>
        <w:br/>
      </w:r>
      <w:r>
        <w:rPr>
          <w:rStyle w:val="VerbatimChar"/>
        </w:rPr>
        <w:t xml:space="preserve">          a1    d1     d2     d3</w:t>
      </w:r>
      <w:r>
        <w:br/>
      </w:r>
      <w:r>
        <w:rPr>
          <w:rStyle w:val="VerbatimChar"/>
        </w:rPr>
        <w:t xml:space="preserve">cint1  1.580 3.076  0.411 -2.226</w:t>
      </w:r>
      <w:r>
        <w:br/>
      </w:r>
      <w:r>
        <w:rPr>
          <w:rStyle w:val="VerbatimChar"/>
        </w:rPr>
        <w:t xml:space="preserve">cint2  1.242 1.566 -0.142 -1.961</w:t>
      </w:r>
      <w:r>
        <w:br/>
      </w:r>
      <w:r>
        <w:rPr>
          <w:rStyle w:val="VerbatimChar"/>
        </w:rPr>
        <w:t xml:space="preserve">cint4  1.122 2.480  0.431 -1.851</w:t>
      </w:r>
      <w:r>
        <w:br/>
      </w:r>
      <w:r>
        <w:rPr>
          <w:rStyle w:val="VerbatimChar"/>
        </w:rPr>
        <w:t xml:space="preserve">cint11 1.420 2.371  0.712 -1.689</w:t>
      </w:r>
      <w:r>
        <w:br/>
      </w:r>
      <w:r>
        <w:rPr>
          <w:rStyle w:val="VerbatimChar"/>
        </w:rPr>
        <w:t xml:space="preserve">cint27 1.748 1.190 -0.216 -2.205</w:t>
      </w:r>
      <w:r>
        <w:br/>
      </w:r>
      <w:r>
        <w:rPr>
          <w:rStyle w:val="VerbatimChar"/>
        </w:rPr>
        <w:t xml:space="preserve">cint28 1.443 1.941  0.303 -1.860</w:t>
      </w:r>
      <w:r>
        <w:br/>
      </w:r>
      <w:r>
        <w:rPr>
          <w:rStyle w:val="VerbatimChar"/>
        </w:rPr>
        <w:t xml:space="preserve">cint29 1.468 0.628 -0.627 -2.619</w:t>
      </w:r>
      <w:r>
        <w:br/>
      </w:r>
      <w:r>
        <w:rPr>
          <w:rStyle w:val="VerbatimChar"/>
        </w:rPr>
        <w:t xml:space="preserve">cint30 1.271 0.702 -0.501 -2.192</w:t>
      </w:r>
      <w:r>
        <w:br/>
      </w:r>
      <w:r>
        <w:br/>
      </w:r>
      <w:r>
        <w:rPr>
          <w:rStyle w:val="VerbatimChar"/>
        </w:rPr>
        <w:t xml:space="preserve">$means</w:t>
      </w:r>
      <w:r>
        <w:br/>
      </w:r>
      <w:r>
        <w:rPr>
          <w:rStyle w:val="VerbatimChar"/>
        </w:rPr>
        <w:t xml:space="preserve">F1 </w:t>
      </w:r>
      <w:r>
        <w:br/>
      </w:r>
      <w:r>
        <w:rPr>
          <w:rStyle w:val="VerbatimChar"/>
        </w:rPr>
        <w:t xml:space="preserve"> 0 </w:t>
      </w:r>
      <w:r>
        <w:br/>
      </w:r>
      <w:r>
        <w:br/>
      </w:r>
      <w:r>
        <w:rPr>
          <w:rStyle w:val="VerbatimChar"/>
        </w:rPr>
        <w:t xml:space="preserve">$cov</w:t>
      </w:r>
      <w:r>
        <w:br/>
      </w:r>
      <w:r>
        <w:rPr>
          <w:rStyle w:val="VerbatimChar"/>
        </w:rPr>
        <w:t xml:space="preserve">   F1</w:t>
      </w:r>
      <w:r>
        <w:br/>
      </w:r>
      <w:r>
        <w:rPr>
          <w:rStyle w:val="VerbatimChar"/>
        </w:rPr>
        <w:t xml:space="preserve">F1  1</w:t>
      </w:r>
    </w:p>
    <w:bookmarkEnd w:id="79"/>
    <w:bookmarkStart w:id="80" w:name="step-2.-extract-model-parameters"/>
    <w:p>
      <w:pPr>
        <w:pStyle w:val="Heading2"/>
      </w:pPr>
      <w:r>
        <w:t xml:space="preserve">Step 2. Extract model parameters</w:t>
      </w:r>
    </w:p>
    <w:p>
      <w:pPr>
        <w:numPr>
          <w:ilvl w:val="0"/>
          <w:numId w:val="1050"/>
        </w:numPr>
        <w:pStyle w:val="Compact"/>
      </w:pPr>
      <w:r>
        <w:t xml:space="preserve">Extract model parameters from mirt</w:t>
      </w:r>
    </w:p>
    <w:p>
      <w:pPr>
        <w:pStyle w:val="SourceCode"/>
      </w:pPr>
      <w:r>
        <w:rPr>
          <w:rStyle w:val="CommentTok"/>
        </w:rPr>
        <w:t xml:space="preserve"># Extract model parameters</w:t>
      </w:r>
      <w:r>
        <w:br/>
      </w:r>
      <w:r>
        <w:rPr>
          <w:rStyle w:val="NormalTok"/>
        </w:rPr>
        <w:t xml:space="preserve">mirt.parms </w:t>
      </w:r>
      <w:r>
        <w:rPr>
          <w:rStyle w:val="OtherTok"/>
        </w:rPr>
        <w:t xml:space="preserve">&lt;-</w:t>
      </w:r>
      <w:r>
        <w:rPr>
          <w:rStyle w:val="NormalTok"/>
        </w:rPr>
        <w:t xml:space="preserve"> </w:t>
      </w:r>
      <w:r>
        <w:rPr>
          <w:rStyle w:val="FunctionTok"/>
        </w:rPr>
        <w:t xml:space="preserve">get_model_parms</w:t>
      </w:r>
      <w:r>
        <w:rPr>
          <w:rStyle w:val="NormalTok"/>
        </w:rPr>
        <w:t xml:space="preserve">(config.mod)</w:t>
      </w:r>
      <w:r>
        <w:br/>
      </w:r>
      <w:r>
        <w:br/>
      </w:r>
      <w:r>
        <w:rPr>
          <w:rStyle w:val="DocumentationTok"/>
        </w:rPr>
        <w:t xml:space="preserve">## Check output</w:t>
      </w:r>
      <w:r>
        <w:br/>
      </w:r>
      <w:r>
        <w:rPr>
          <w:rStyle w:val="NormalTok"/>
        </w:rPr>
        <w:t xml:space="preserve">mirt.parms</w:t>
      </w:r>
      <w:r>
        <w:rPr>
          <w:rStyle w:val="SpecialCharTok"/>
        </w:rPr>
        <w:t xml:space="preserve">$</w:t>
      </w:r>
      <w:r>
        <w:rPr>
          <w:rStyle w:val="NormalTok"/>
        </w:rPr>
        <w:t xml:space="preserve">est</w:t>
      </w:r>
    </w:p>
    <w:p>
      <w:pPr>
        <w:pStyle w:val="SourceCode"/>
      </w:pPr>
      <w:r>
        <w:rPr>
          <w:rStyle w:val="VerbatimChar"/>
        </w:rPr>
        <w:t xml:space="preserve">$group.1</w:t>
      </w:r>
      <w:r>
        <w:br/>
      </w:r>
      <w:r>
        <w:rPr>
          <w:rStyle w:val="VerbatimChar"/>
        </w:rPr>
        <w:t xml:space="preserve">             a1         d1          d2        d3</w:t>
      </w:r>
      <w:r>
        <w:br/>
      </w:r>
      <w:r>
        <w:rPr>
          <w:rStyle w:val="VerbatimChar"/>
        </w:rPr>
        <w:t xml:space="preserve">item1 1.5167838  2.0990325 -0.44236088 -2.866174</w:t>
      </w:r>
      <w:r>
        <w:br/>
      </w:r>
      <w:r>
        <w:rPr>
          <w:rStyle w:val="VerbatimChar"/>
        </w:rPr>
        <w:t xml:space="preserve">item2 1.3226290  1.0996419 -0.70402161 -2.361671</w:t>
      </w:r>
      <w:r>
        <w:br/>
      </w:r>
      <w:r>
        <w:rPr>
          <w:rStyle w:val="VerbatimChar"/>
        </w:rPr>
        <w:t xml:space="preserve">item3 1.1060247  1.7599867 -0.02459558 -2.130449</w:t>
      </w:r>
      <w:r>
        <w:br/>
      </w:r>
      <w:r>
        <w:rPr>
          <w:rStyle w:val="VerbatimChar"/>
        </w:rPr>
        <w:t xml:space="preserve">item4 0.9305090  1.7228653  0.24874502 -2.313067</w:t>
      </w:r>
      <w:r>
        <w:br/>
      </w:r>
      <w:r>
        <w:rPr>
          <w:rStyle w:val="VerbatimChar"/>
        </w:rPr>
        <w:t xml:space="preserve">item5 1.6472558  0.7990658 -0.77984423 -2.606872</w:t>
      </w:r>
      <w:r>
        <w:br/>
      </w:r>
      <w:r>
        <w:rPr>
          <w:rStyle w:val="VerbatimChar"/>
        </w:rPr>
        <w:t xml:space="preserve">item6 0.9094216  1.1941310 -0.31173439 -2.141181</w:t>
      </w:r>
      <w:r>
        <w:br/>
      </w:r>
      <w:r>
        <w:rPr>
          <w:rStyle w:val="VerbatimChar"/>
        </w:rPr>
        <w:t xml:space="preserve">item7 1.0741429 -0.6629446 -1.90846725 -3.528486</w:t>
      </w:r>
      <w:r>
        <w:br/>
      </w:r>
      <w:r>
        <w:rPr>
          <w:rStyle w:val="VerbatimChar"/>
        </w:rPr>
        <w:t xml:space="preserve">item8 1.1011885  0.7658870 -0.52489886 -2.277890</w:t>
      </w:r>
      <w:r>
        <w:br/>
      </w:r>
      <w:r>
        <w:br/>
      </w:r>
      <w:r>
        <w:rPr>
          <w:rStyle w:val="VerbatimChar"/>
        </w:rPr>
        <w:t xml:space="preserve">$group.2</w:t>
      </w:r>
      <w:r>
        <w:br/>
      </w:r>
      <w:r>
        <w:rPr>
          <w:rStyle w:val="VerbatimChar"/>
        </w:rPr>
        <w:t xml:space="preserve">            a1        d1         d2        d3</w:t>
      </w:r>
      <w:r>
        <w:br/>
      </w:r>
      <w:r>
        <w:rPr>
          <w:rStyle w:val="VerbatimChar"/>
        </w:rPr>
        <w:t xml:space="preserve">item1 1.580371 3.0757984  0.4107194 -2.226117</w:t>
      </w:r>
      <w:r>
        <w:br/>
      </w:r>
      <w:r>
        <w:rPr>
          <w:rStyle w:val="VerbatimChar"/>
        </w:rPr>
        <w:t xml:space="preserve">item2 1.242215 1.5663720 -0.1421765 -1.960686</w:t>
      </w:r>
      <w:r>
        <w:br/>
      </w:r>
      <w:r>
        <w:rPr>
          <w:rStyle w:val="VerbatimChar"/>
        </w:rPr>
        <w:t xml:space="preserve">item3 1.122109 2.4799671  0.4308424 -1.850987</w:t>
      </w:r>
      <w:r>
        <w:br/>
      </w:r>
      <w:r>
        <w:rPr>
          <w:rStyle w:val="VerbatimChar"/>
        </w:rPr>
        <w:t xml:space="preserve">item4 1.419502 2.3706138  0.7115116 -1.688975</w:t>
      </w:r>
      <w:r>
        <w:br/>
      </w:r>
      <w:r>
        <w:rPr>
          <w:rStyle w:val="VerbatimChar"/>
        </w:rPr>
        <w:t xml:space="preserve">item5 1.748094 1.1899711 -0.2163709 -2.205330</w:t>
      </w:r>
      <w:r>
        <w:br/>
      </w:r>
      <w:r>
        <w:rPr>
          <w:rStyle w:val="VerbatimChar"/>
        </w:rPr>
        <w:t xml:space="preserve">item6 1.442756 1.9410021  0.3027256 -1.859963</w:t>
      </w:r>
      <w:r>
        <w:br/>
      </w:r>
      <w:r>
        <w:rPr>
          <w:rStyle w:val="VerbatimChar"/>
        </w:rPr>
        <w:t xml:space="preserve">item7 1.467982 0.6282358 -0.6270320 -2.619477</w:t>
      </w:r>
      <w:r>
        <w:br/>
      </w:r>
      <w:r>
        <w:rPr>
          <w:rStyle w:val="VerbatimChar"/>
        </w:rPr>
        <w:t xml:space="preserve">item8 1.270718 0.7024522 -0.5005097 -2.192099</w:t>
      </w:r>
    </w:p>
    <w:bookmarkEnd w:id="80"/>
    <w:bookmarkStart w:id="81" w:name="step-3.-run-robust-dif-analysis"/>
    <w:p>
      <w:pPr>
        <w:pStyle w:val="Heading2"/>
      </w:pPr>
      <w:r>
        <w:t xml:space="preserve">Step 3. Run robust DIF analysis</w:t>
      </w:r>
    </w:p>
    <w:p>
      <w:pPr>
        <w:numPr>
          <w:ilvl w:val="0"/>
          <w:numId w:val="1051"/>
        </w:numPr>
        <w:pStyle w:val="Compact"/>
      </w:pPr>
      <w:r>
        <w:rPr>
          <w:rStyle w:val="VerbatimChar"/>
        </w:rPr>
        <w:t xml:space="preserve">rdif</w:t>
      </w:r>
      <w:r>
        <w:t xml:space="preserve"> </w:t>
      </w:r>
      <w:r>
        <w:t xml:space="preserve">is internal function for estimation</w:t>
      </w:r>
    </w:p>
    <w:p>
      <w:pPr>
        <w:pStyle w:val="SourceCode"/>
      </w:pPr>
      <w:r>
        <w:rPr>
          <w:rStyle w:val="CommentTok"/>
        </w:rPr>
        <w:t xml:space="preserve"># "raw" output with weights</w:t>
      </w:r>
      <w:r>
        <w:br/>
      </w:r>
      <w:r>
        <w:rPr>
          <w:rStyle w:val="FunctionTok"/>
        </w:rPr>
        <w:t xml:space="preserve">rdif</w:t>
      </w:r>
      <w:r>
        <w:rPr>
          <w:rStyle w:val="NormalTok"/>
        </w:rPr>
        <w:t xml:space="preserve">(mirt.parms, </w:t>
      </w:r>
      <w:r>
        <w:rPr>
          <w:rStyle w:val="AttributeTok"/>
        </w:rPr>
        <w:t xml:space="preserve">par =</w:t>
      </w:r>
      <w:r>
        <w:rPr>
          <w:rStyle w:val="NormalTok"/>
        </w:rPr>
        <w:t xml:space="preserve"> </w:t>
      </w:r>
      <w:r>
        <w:rPr>
          <w:rStyle w:val="StringTok"/>
        </w:rPr>
        <w:t xml:space="preserve">"intercept"</w:t>
      </w:r>
      <w:r>
        <w:rPr>
          <w:rStyle w:val="NormalTok"/>
        </w:rPr>
        <w:t xml:space="preserve">)</w:t>
      </w:r>
    </w:p>
    <w:p>
      <w:pPr>
        <w:pStyle w:val="SourceCode"/>
      </w:pPr>
      <w:r>
        <w:rPr>
          <w:rStyle w:val="VerbatimChar"/>
        </w:rPr>
        <w:t xml:space="preserve">$est</w:t>
      </w:r>
      <w:r>
        <w:br/>
      </w:r>
      <w:r>
        <w:rPr>
          <w:rStyle w:val="VerbatimChar"/>
        </w:rPr>
        <w:t xml:space="preserve">[1] 0.404222</w:t>
      </w:r>
      <w:r>
        <w:br/>
      </w:r>
      <w:r>
        <w:br/>
      </w:r>
      <w:r>
        <w:rPr>
          <w:rStyle w:val="VerbatimChar"/>
        </w:rPr>
        <w:t xml:space="preserve">$weights</w:t>
      </w:r>
      <w:r>
        <w:br/>
      </w:r>
      <w:r>
        <w:rPr>
          <w:rStyle w:val="VerbatimChar"/>
        </w:rPr>
        <w:t xml:space="preserve"> [1] 0.3839973 0.4828362 0.9999925 0.9835501 0.9494398 0.9304414 0.4264334</w:t>
      </w:r>
      <w:r>
        <w:br/>
      </w:r>
      <w:r>
        <w:rPr>
          <w:rStyle w:val="VerbatimChar"/>
        </w:rPr>
        <w:t xml:space="preserve"> [8] 0.9999393 0.7666714 0.9440296 0.8000310 0.9806982 0.1649757 0.7915727</w:t>
      </w:r>
      <w:r>
        <w:br/>
      </w:r>
      <w:r>
        <w:rPr>
          <w:rStyle w:val="VerbatimChar"/>
        </w:rPr>
        <w:t xml:space="preserve">[15] 0.6049233 0.6791094 0.9837524 0.4172171 0.0000000 0.0000000 0.6549483</w:t>
      </w:r>
      <w:r>
        <w:br/>
      </w:r>
      <w:r>
        <w:rPr>
          <w:rStyle w:val="VerbatimChar"/>
        </w:rPr>
        <w:t xml:space="preserve">[22] 0.0000000 0.0000000 0.1326015</w:t>
      </w:r>
      <w:r>
        <w:br/>
      </w:r>
      <w:r>
        <w:br/>
      </w:r>
      <w:r>
        <w:rPr>
          <w:rStyle w:val="VerbatimChar"/>
        </w:rPr>
        <w:t xml:space="preserve">$n.iter</w:t>
      </w:r>
      <w:r>
        <w:br/>
      </w:r>
      <w:r>
        <w:rPr>
          <w:rStyle w:val="VerbatimChar"/>
        </w:rPr>
        <w:t xml:space="preserve">[1] 23</w:t>
      </w:r>
      <w:r>
        <w:br/>
      </w:r>
      <w:r>
        <w:br/>
      </w:r>
      <w:r>
        <w:rPr>
          <w:rStyle w:val="VerbatimChar"/>
        </w:rPr>
        <w:t xml:space="preserve">$epsilon</w:t>
      </w:r>
      <w:r>
        <w:br/>
      </w:r>
      <w:r>
        <w:rPr>
          <w:rStyle w:val="VerbatimChar"/>
        </w:rPr>
        <w:t xml:space="preserve">[1] 7.273842e-08</w:t>
      </w:r>
    </w:p>
    <w:bookmarkEnd w:id="81"/>
    <w:bookmarkStart w:id="82" w:name="step-3.-run-robust-dif-analysis-1"/>
    <w:p>
      <w:pPr>
        <w:pStyle w:val="Heading2"/>
      </w:pPr>
      <w:r>
        <w:t xml:space="preserve">Step 3. Run robust DIF analysis</w:t>
      </w:r>
    </w:p>
    <w:p>
      <w:pPr>
        <w:numPr>
          <w:ilvl w:val="0"/>
          <w:numId w:val="1052"/>
        </w:numPr>
        <w:pStyle w:val="Compact"/>
      </w:pPr>
      <w:r>
        <w:rPr>
          <w:rStyle w:val="VerbatimChar"/>
        </w:rPr>
        <w:t xml:space="preserve">rdif_z_test</w:t>
      </w:r>
      <w:r>
        <w:t xml:space="preserve"> </w:t>
      </w:r>
      <w:r>
        <w:t xml:space="preserve">and</w:t>
      </w:r>
      <w:r>
        <w:t xml:space="preserve"> </w:t>
      </w:r>
      <w:r>
        <w:rPr>
          <w:rStyle w:val="VerbatimChar"/>
        </w:rPr>
        <w:t xml:space="preserve">rdif_chisq_test</w:t>
      </w:r>
      <w:r>
        <w:t xml:space="preserve"> </w:t>
      </w:r>
      <w:r>
        <w:t xml:space="preserve">for user-friendly output</w:t>
      </w:r>
    </w:p>
    <w:p>
      <w:pPr>
        <w:pStyle w:val="SourceCode"/>
      </w:pPr>
      <w:r>
        <w:rPr>
          <w:rStyle w:val="CommentTok"/>
        </w:rPr>
        <w:t xml:space="preserve"># Test of individual item parameters (intercepts / thresholds)</w:t>
      </w:r>
      <w:r>
        <w:br/>
      </w:r>
      <w:r>
        <w:rPr>
          <w:rStyle w:val="FunctionTok"/>
        </w:rPr>
        <w:t xml:space="preserve">rdif_z_test</w:t>
      </w:r>
      <w:r>
        <w:rPr>
          <w:rStyle w:val="NormalTok"/>
        </w:rPr>
        <w:t xml:space="preserve">(mirt.parms, </w:t>
      </w:r>
      <w:r>
        <w:rPr>
          <w:rStyle w:val="AttributeTok"/>
        </w:rPr>
        <w:t xml:space="preserve">par =</w:t>
      </w:r>
      <w:r>
        <w:rPr>
          <w:rStyle w:val="NormalTok"/>
        </w:rPr>
        <w:t xml:space="preserve"> </w:t>
      </w:r>
      <w:r>
        <w:rPr>
          <w:rStyle w:val="StringTok"/>
        </w:rPr>
        <w:t xml:space="preserve">"intercept"</w:t>
      </w:r>
      <w:r>
        <w:rPr>
          <w:rStyle w:val="NormalTok"/>
        </w:rPr>
        <w:t xml:space="preserve">)</w:t>
      </w:r>
    </w:p>
    <w:p>
      <w:pPr>
        <w:pStyle w:val="SourceCode"/>
      </w:pPr>
      <w:r>
        <w:rPr>
          <w:rStyle w:val="VerbatimChar"/>
        </w:rPr>
        <w:t xml:space="preserve">          z.test p.val</w:t>
      </w:r>
      <w:r>
        <w:br/>
      </w:r>
      <w:r>
        <w:rPr>
          <w:rStyle w:val="VerbatimChar"/>
        </w:rPr>
        <w:t xml:space="preserve">cint1.d1   1.209 0.227</w:t>
      </w:r>
      <w:r>
        <w:br/>
      </w:r>
      <w:r>
        <w:rPr>
          <w:rStyle w:val="VerbatimChar"/>
        </w:rPr>
        <w:t xml:space="preserve">cint1.d2   1.083 0.279</w:t>
      </w:r>
      <w:r>
        <w:br/>
      </w:r>
      <w:r>
        <w:rPr>
          <w:rStyle w:val="VerbatimChar"/>
        </w:rPr>
        <w:t xml:space="preserve">cint1.d3   0.004 0.997</w:t>
      </w:r>
      <w:r>
        <w:br/>
      </w:r>
      <w:r>
        <w:rPr>
          <w:rStyle w:val="VerbatimChar"/>
        </w:rPr>
        <w:t xml:space="preserve">cint2.d1  -0.178 0.859</w:t>
      </w:r>
      <w:r>
        <w:br/>
      </w:r>
      <w:r>
        <w:rPr>
          <w:rStyle w:val="VerbatimChar"/>
        </w:rPr>
        <w:t xml:space="preserve">cint2.d2   0.314 0.754</w:t>
      </w:r>
      <w:r>
        <w:br/>
      </w:r>
      <w:r>
        <w:rPr>
          <w:rStyle w:val="VerbatimChar"/>
        </w:rPr>
        <w:t xml:space="preserve">cint2.d3  -0.369 0.712</w:t>
      </w:r>
      <w:r>
        <w:br/>
      </w:r>
      <w:r>
        <w:rPr>
          <w:rStyle w:val="VerbatimChar"/>
        </w:rPr>
        <w:t xml:space="preserve">cint4.d1   1.155 0.248</w:t>
      </w:r>
      <w:r>
        <w:br/>
      </w:r>
      <w:r>
        <w:rPr>
          <w:rStyle w:val="VerbatimChar"/>
        </w:rPr>
        <w:t xml:space="preserve">cint4.d2   0.011 0.991</w:t>
      </w:r>
      <w:r>
        <w:br/>
      </w:r>
      <w:r>
        <w:rPr>
          <w:rStyle w:val="VerbatimChar"/>
        </w:rPr>
        <w:t xml:space="preserve">cint4.d3  -0.691 0.489</w:t>
      </w:r>
      <w:r>
        <w:br/>
      </w:r>
      <w:r>
        <w:rPr>
          <w:rStyle w:val="VerbatimChar"/>
        </w:rPr>
        <w:t xml:space="preserve">cint11.d1  0.330 0.741</w:t>
      </w:r>
      <w:r>
        <w:br/>
      </w:r>
      <w:r>
        <w:rPr>
          <w:rStyle w:val="VerbatimChar"/>
        </w:rPr>
        <w:t xml:space="preserve">cint11.d2 -0.637 0.524</w:t>
      </w:r>
      <w:r>
        <w:br/>
      </w:r>
      <w:r>
        <w:rPr>
          <w:rStyle w:val="VerbatimChar"/>
        </w:rPr>
        <w:t xml:space="preserve">cint11.d3  0.193 0.847</w:t>
      </w:r>
      <w:r>
        <w:br/>
      </w:r>
      <w:r>
        <w:rPr>
          <w:rStyle w:val="VerbatimChar"/>
        </w:rPr>
        <w:t xml:space="preserve">cint27.d1 -1.510 0.131</w:t>
      </w:r>
      <w:r>
        <w:br/>
      </w:r>
      <w:r>
        <w:rPr>
          <w:rStyle w:val="VerbatimChar"/>
        </w:rPr>
        <w:t xml:space="preserve">cint27.d2 -0.651 0.515</w:t>
      </w:r>
      <w:r>
        <w:br/>
      </w:r>
      <w:r>
        <w:rPr>
          <w:rStyle w:val="VerbatimChar"/>
        </w:rPr>
        <w:t xml:space="preserve">cint27.d3 -0.924 0.356</w:t>
      </w:r>
      <w:r>
        <w:br/>
      </w:r>
      <w:r>
        <w:rPr>
          <w:rStyle w:val="VerbatimChar"/>
        </w:rPr>
        <w:t xml:space="preserve">cint28.d1  0.822 0.411</w:t>
      </w:r>
      <w:r>
        <w:br/>
      </w:r>
      <w:r>
        <w:rPr>
          <w:rStyle w:val="VerbatimChar"/>
        </w:rPr>
        <w:t xml:space="preserve">cint28.d2  0.177 0.859</w:t>
      </w:r>
      <w:r>
        <w:br/>
      </w:r>
      <w:r>
        <w:rPr>
          <w:rStyle w:val="VerbatimChar"/>
        </w:rPr>
        <w:t xml:space="preserve">cint28.d3 -1.166 0.244</w:t>
      </w:r>
      <w:r>
        <w:br/>
      </w:r>
      <w:r>
        <w:rPr>
          <w:rStyle w:val="VerbatimChar"/>
        </w:rPr>
        <w:t xml:space="preserve">cint29.d1  3.750 0.000</w:t>
      </w:r>
      <w:r>
        <w:br/>
      </w:r>
      <w:r>
        <w:rPr>
          <w:rStyle w:val="VerbatimChar"/>
        </w:rPr>
        <w:t xml:space="preserve">cint29.d2  2.987 0.003</w:t>
      </w:r>
      <w:r>
        <w:br/>
      </w:r>
      <w:r>
        <w:rPr>
          <w:rStyle w:val="VerbatimChar"/>
        </w:rPr>
        <w:t xml:space="preserve">cint29.d3  0.856 0.392</w:t>
      </w:r>
      <w:r>
        <w:br/>
      </w:r>
      <w:r>
        <w:rPr>
          <w:rStyle w:val="VerbatimChar"/>
        </w:rPr>
        <w:t xml:space="preserve">cint30.d1 -3.189 0.001</w:t>
      </w:r>
      <w:r>
        <w:br/>
      </w:r>
      <w:r>
        <w:rPr>
          <w:rStyle w:val="VerbatimChar"/>
        </w:rPr>
        <w:t xml:space="preserve">cint30.d2 -2.587 0.010</w:t>
      </w:r>
      <w:r>
        <w:br/>
      </w:r>
      <w:r>
        <w:rPr>
          <w:rStyle w:val="VerbatimChar"/>
        </w:rPr>
        <w:t xml:space="preserve">cint30.d3 -1.563 0.118</w:t>
      </w:r>
    </w:p>
    <w:bookmarkEnd w:id="82"/>
    <w:bookmarkStart w:id="83" w:name="step-3.-run-robust-dif-analysis-2"/>
    <w:p>
      <w:pPr>
        <w:pStyle w:val="Heading2"/>
      </w:pPr>
      <w:r>
        <w:t xml:space="preserve">Step 3. Run robust DIF analysis</w:t>
      </w:r>
    </w:p>
    <w:p>
      <w:pPr>
        <w:numPr>
          <w:ilvl w:val="0"/>
          <w:numId w:val="1053"/>
        </w:numPr>
        <w:pStyle w:val="Compact"/>
      </w:pPr>
      <w:r>
        <w:rPr>
          <w:rStyle w:val="VerbatimChar"/>
        </w:rPr>
        <w:t xml:space="preserve">rdif_z_test</w:t>
      </w:r>
      <w:r>
        <w:t xml:space="preserve"> </w:t>
      </w:r>
      <w:r>
        <w:t xml:space="preserve">and</w:t>
      </w:r>
      <w:r>
        <w:t xml:space="preserve"> </w:t>
      </w:r>
      <w:r>
        <w:rPr>
          <w:rStyle w:val="VerbatimChar"/>
        </w:rPr>
        <w:t xml:space="preserve">rdif_chisq_test</w:t>
      </w:r>
      <w:r>
        <w:t xml:space="preserve"> </w:t>
      </w:r>
      <w:r>
        <w:t xml:space="preserve">for user-friendly output</w:t>
      </w:r>
    </w:p>
    <w:p>
      <w:pPr>
        <w:pStyle w:val="SourceCode"/>
      </w:pPr>
      <w:r>
        <w:rPr>
          <w:rStyle w:val="CommentTok"/>
        </w:rPr>
        <w:t xml:space="preserve"># Test of individual item parameters (slopes)</w:t>
      </w:r>
      <w:r>
        <w:br/>
      </w:r>
      <w:r>
        <w:rPr>
          <w:rStyle w:val="FunctionTok"/>
        </w:rPr>
        <w:t xml:space="preserve">rdif_z_test</w:t>
      </w:r>
      <w:r>
        <w:rPr>
          <w:rStyle w:val="NormalTok"/>
        </w:rPr>
        <w:t xml:space="preserve">(mirt.parms, </w:t>
      </w:r>
      <w:r>
        <w:rPr>
          <w:rStyle w:val="AttributeTok"/>
        </w:rPr>
        <w:t xml:space="preserve">par =</w:t>
      </w:r>
      <w:r>
        <w:rPr>
          <w:rStyle w:val="NormalTok"/>
        </w:rPr>
        <w:t xml:space="preserve"> </w:t>
      </w:r>
      <w:r>
        <w:rPr>
          <w:rStyle w:val="StringTok"/>
        </w:rPr>
        <w:t xml:space="preserve">"slope"</w:t>
      </w:r>
      <w:r>
        <w:rPr>
          <w:rStyle w:val="NormalTok"/>
        </w:rPr>
        <w:t xml:space="preserve">)</w:t>
      </w:r>
    </w:p>
    <w:p>
      <w:pPr>
        <w:pStyle w:val="SourceCode"/>
      </w:pPr>
      <w:r>
        <w:rPr>
          <w:rStyle w:val="VerbatimChar"/>
        </w:rPr>
        <w:t xml:space="preserve">          z.test p.val</w:t>
      </w:r>
      <w:r>
        <w:br/>
      </w:r>
      <w:r>
        <w:rPr>
          <w:rStyle w:val="VerbatimChar"/>
        </w:rPr>
        <w:t xml:space="preserve">cint1.a1  -0.023 0.982</w:t>
      </w:r>
      <w:r>
        <w:br/>
      </w:r>
      <w:r>
        <w:rPr>
          <w:rStyle w:val="VerbatimChar"/>
        </w:rPr>
        <w:t xml:space="preserve">cint2.a1  -0.684 0.494</w:t>
      </w:r>
      <w:r>
        <w:br/>
      </w:r>
      <w:r>
        <w:rPr>
          <w:rStyle w:val="VerbatimChar"/>
        </w:rPr>
        <w:t xml:space="preserve">cint4.a1  -0.180 0.857</w:t>
      </w:r>
      <w:r>
        <w:br/>
      </w:r>
      <w:r>
        <w:rPr>
          <w:rStyle w:val="VerbatimChar"/>
        </w:rPr>
        <w:t xml:space="preserve">cint11.a1  2.238 0.025</w:t>
      </w:r>
      <w:r>
        <w:br/>
      </w:r>
      <w:r>
        <w:rPr>
          <w:rStyle w:val="VerbatimChar"/>
        </w:rPr>
        <w:t xml:space="preserve">cint27.a1  0.102 0.919</w:t>
      </w:r>
      <w:r>
        <w:br/>
      </w:r>
      <w:r>
        <w:rPr>
          <w:rStyle w:val="VerbatimChar"/>
        </w:rPr>
        <w:t xml:space="preserve">cint28.a1  2.471 0.013</w:t>
      </w:r>
      <w:r>
        <w:br/>
      </w:r>
      <w:r>
        <w:rPr>
          <w:rStyle w:val="VerbatimChar"/>
        </w:rPr>
        <w:t xml:space="preserve">cint29.a1  1.558 0.119</w:t>
      </w:r>
      <w:r>
        <w:br/>
      </w:r>
      <w:r>
        <w:rPr>
          <w:rStyle w:val="VerbatimChar"/>
        </w:rPr>
        <w:t xml:space="preserve">cint30.a1  0.603 0.547</w:t>
      </w:r>
    </w:p>
    <w:bookmarkEnd w:id="83"/>
    <w:bookmarkStart w:id="84" w:name="step-3.-run-robust-dif-analysis-3"/>
    <w:p>
      <w:pPr>
        <w:pStyle w:val="Heading2"/>
      </w:pPr>
      <w:r>
        <w:t xml:space="preserve">Step 3. Run robust DIF analysis</w:t>
      </w:r>
    </w:p>
    <w:p>
      <w:pPr>
        <w:numPr>
          <w:ilvl w:val="0"/>
          <w:numId w:val="1054"/>
        </w:numPr>
        <w:pStyle w:val="Compact"/>
      </w:pPr>
      <w:r>
        <w:rPr>
          <w:rStyle w:val="VerbatimChar"/>
        </w:rPr>
        <w:t xml:space="preserve">rdif_z_test</w:t>
      </w:r>
      <w:r>
        <w:t xml:space="preserve"> </w:t>
      </w:r>
      <w:r>
        <w:t xml:space="preserve">and</w:t>
      </w:r>
      <w:r>
        <w:t xml:space="preserve"> </w:t>
      </w:r>
      <w:r>
        <w:rPr>
          <w:rStyle w:val="VerbatimChar"/>
        </w:rPr>
        <w:t xml:space="preserve">rdif_chisq_test</w:t>
      </w:r>
      <w:r>
        <w:t xml:space="preserve"> </w:t>
      </w:r>
      <w:r>
        <w:t xml:space="preserve">for user-friendly output</w:t>
      </w:r>
    </w:p>
    <w:p>
      <w:pPr>
        <w:pStyle w:val="SourceCode"/>
      </w:pPr>
      <w:r>
        <w:rPr>
          <w:rStyle w:val="CommentTok"/>
        </w:rPr>
        <w:t xml:space="preserve"># Item-level tests </w:t>
      </w:r>
      <w:r>
        <w:br/>
      </w:r>
      <w:r>
        <w:rPr>
          <w:rStyle w:val="FunctionTok"/>
        </w:rPr>
        <w:t xml:space="preserve">rdif_chisq_test</w:t>
      </w:r>
      <w:r>
        <w:rPr>
          <w:rStyle w:val="NormalTok"/>
        </w:rPr>
        <w:t xml:space="preserve">(mirt.parms)</w:t>
      </w:r>
    </w:p>
    <w:p>
      <w:pPr>
        <w:pStyle w:val="SourceCode"/>
      </w:pPr>
      <w:r>
        <w:rPr>
          <w:rStyle w:val="VerbatimChar"/>
        </w:rPr>
        <w:t xml:space="preserve">       chi.square df p.val</w:t>
      </w:r>
      <w:r>
        <w:br/>
      </w:r>
      <w:r>
        <w:rPr>
          <w:rStyle w:val="VerbatimChar"/>
        </w:rPr>
        <w:t xml:space="preserve">cint1       2.269  4 0.686</w:t>
      </w:r>
      <w:r>
        <w:br/>
      </w:r>
      <w:r>
        <w:rPr>
          <w:rStyle w:val="VerbatimChar"/>
        </w:rPr>
        <w:t xml:space="preserve">cint2       2.347  4 0.672</w:t>
      </w:r>
      <w:r>
        <w:br/>
      </w:r>
      <w:r>
        <w:rPr>
          <w:rStyle w:val="VerbatimChar"/>
        </w:rPr>
        <w:t xml:space="preserve">cint4       2.798  4 0.592</w:t>
      </w:r>
      <w:r>
        <w:br/>
      </w:r>
      <w:r>
        <w:rPr>
          <w:rStyle w:val="VerbatimChar"/>
        </w:rPr>
        <w:t xml:space="preserve">cint11     12.688  4 0.013</w:t>
      </w:r>
      <w:r>
        <w:br/>
      </w:r>
      <w:r>
        <w:rPr>
          <w:rStyle w:val="VerbatimChar"/>
        </w:rPr>
        <w:t xml:space="preserve">cint27      3.360  4 0.499</w:t>
      </w:r>
      <w:r>
        <w:br/>
      </w:r>
      <w:r>
        <w:rPr>
          <w:rStyle w:val="VerbatimChar"/>
        </w:rPr>
        <w:t xml:space="preserve">cint28     11.099  4 0.025</w:t>
      </w:r>
      <w:r>
        <w:br/>
      </w:r>
      <w:r>
        <w:rPr>
          <w:rStyle w:val="VerbatimChar"/>
        </w:rPr>
        <w:t xml:space="preserve">cint29     30.338  4 0.000</w:t>
      </w:r>
      <w:r>
        <w:br/>
      </w:r>
      <w:r>
        <w:rPr>
          <w:rStyle w:val="VerbatimChar"/>
        </w:rPr>
        <w:t xml:space="preserve">cint30     11.697  4 0.020</w:t>
      </w:r>
    </w:p>
    <w:bookmarkEnd w:id="84"/>
    <w:bookmarkStart w:id="85" w:name="comparison-robust-dif-and-lr-test"/>
    <w:p>
      <w:pPr>
        <w:pStyle w:val="Heading2"/>
      </w:pPr>
      <w:r>
        <w:t xml:space="preserve">Comparison: robust DIF and LR Test</w:t>
      </w:r>
    </w:p>
    <w:p>
      <w:pPr>
        <w:numPr>
          <w:ilvl w:val="0"/>
          <w:numId w:val="1055"/>
        </w:numPr>
        <w:pStyle w:val="Compact"/>
      </w:pPr>
      <w:r>
        <w:t xml:space="preserve">Note that in LR test of DIF, only</w:t>
      </w:r>
      <w:r>
        <w:t xml:space="preserve"> </w:t>
      </w:r>
      <w:r>
        <w:rPr>
          <w:rStyle w:val="VerbatimChar"/>
        </w:rPr>
        <w:t xml:space="preserve">cint29</w:t>
      </w:r>
      <w:r>
        <w:t xml:space="preserve"> </w:t>
      </w:r>
      <w:r>
        <w:t xml:space="preserve">and</w:t>
      </w:r>
      <w:r>
        <w:t xml:space="preserve"> </w:t>
      </w:r>
      <w:r>
        <w:rPr>
          <w:rStyle w:val="VerbatimChar"/>
        </w:rPr>
        <w:t xml:space="preserve">cint30</w:t>
      </w:r>
      <w:r>
        <w:t xml:space="preserve"> </w:t>
      </w:r>
      <w:r>
        <w:t xml:space="preserve">were found to have</w:t>
      </w:r>
    </w:p>
    <w:p>
      <w:pPr>
        <w:numPr>
          <w:ilvl w:val="0"/>
          <w:numId w:val="1055"/>
        </w:numPr>
        <w:pStyle w:val="Compact"/>
      </w:pPr>
      <w:r>
        <w:t xml:space="preserve">Will look at DIF on item slopes together during the workshop</w:t>
      </w:r>
    </w:p>
    <w:bookmarkEnd w:id="85"/>
    <w:bookmarkStart w:id="86" w:name="comparison-robust-dif-and-lr-test-1"/>
    <w:p>
      <w:pPr>
        <w:pStyle w:val="Heading2"/>
      </w:pPr>
      <w:r>
        <w:t xml:space="preserve">Comparison: robust DIF and LR Test</w:t>
      </w:r>
    </w:p>
    <w:p>
      <w:pPr>
        <w:pStyle w:val="SourceCode"/>
      </w:pPr>
      <w:r>
        <w:rPr>
          <w:rStyle w:val="CommentTok"/>
        </w:rPr>
        <w:t xml:space="preserve"># DIF analysis for item slopes with mirt</w:t>
      </w:r>
      <w:r>
        <w:br/>
      </w:r>
      <w:r>
        <w:rPr>
          <w:rStyle w:val="NormalTok"/>
        </w:rPr>
        <w:t xml:space="preserve">strong.invariance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"free_mean"</w:t>
      </w:r>
      <w:r>
        <w:rPr>
          <w:rStyle w:val="NormalTok"/>
        </w:rPr>
        <w:t xml:space="preserve">, </w:t>
      </w:r>
      <w:r>
        <w:rPr>
          <w:rStyle w:val="StringTok"/>
        </w:rPr>
        <w:t xml:space="preserve">"free_var"</w:t>
      </w:r>
      <w:r>
        <w:rPr>
          <w:rStyle w:val="NormalTok"/>
        </w:rPr>
        <w:t xml:space="preserve">, </w:t>
      </w:r>
      <w:r>
        <w:rPr>
          <w:rStyle w:val="StringTok"/>
        </w:rPr>
        <w:t xml:space="preserve">"slopes"</w:t>
      </w:r>
      <w:r>
        <w:rPr>
          <w:rStyle w:val="NormalTok"/>
        </w:rPr>
        <w:t xml:space="preserve">, </w:t>
      </w:r>
      <w:r>
        <w:rPr>
          <w:rStyle w:val="StringTok"/>
        </w:rPr>
        <w:t xml:space="preserve">"intercepts"</w:t>
      </w:r>
      <w:r>
        <w:rPr>
          <w:rStyle w:val="NormalTok"/>
        </w:rPr>
        <w:t xml:space="preserve">)</w:t>
      </w:r>
      <w:r>
        <w:br/>
      </w:r>
      <w:r>
        <w:rPr>
          <w:rStyle w:val="NormalTok"/>
        </w:rPr>
        <w:t xml:space="preserve">strong.mod </w:t>
      </w:r>
      <w:r>
        <w:rPr>
          <w:rStyle w:val="OtherTok"/>
        </w:rPr>
        <w:t xml:space="preserve">&lt;-</w:t>
      </w:r>
      <w:r>
        <w:rPr>
          <w:rStyle w:val="NormalTok"/>
        </w:rPr>
        <w:t xml:space="preserve"> </w:t>
      </w:r>
      <w:r>
        <w:rPr>
          <w:rStyle w:val="FunctionTok"/>
        </w:rPr>
        <w:t xml:space="preserve">multipleGroup</w:t>
      </w:r>
      <w:r>
        <w:rPr>
          <w:rStyle w:val="NormalTok"/>
        </w:rPr>
        <w:t xml:space="preserve">(depression_items,</w:t>
      </w:r>
      <w:r>
        <w:br/>
      </w:r>
      <w:r>
        <w:rPr>
          <w:rStyle w:val="NormalTok"/>
        </w:rPr>
        <w:t xml:space="preserve">                            </w:t>
      </w:r>
      <w:r>
        <w:rPr>
          <w:rStyle w:val="AttributeTok"/>
        </w:rPr>
        <w:t xml:space="preserve">group =</w:t>
      </w:r>
      <w:r>
        <w:rPr>
          <w:rStyle w:val="NormalTok"/>
        </w:rPr>
        <w:t xml:space="preserve"> gender,</w:t>
      </w:r>
      <w:r>
        <w:br/>
      </w:r>
      <w:r>
        <w:rPr>
          <w:rStyle w:val="NormalTok"/>
        </w:rPr>
        <w:t xml:space="preserve">                            </w:t>
      </w:r>
      <w:r>
        <w:rPr>
          <w:rStyle w:val="AttributeTok"/>
        </w:rPr>
        <w:t xml:space="preserve">itemtype =</w:t>
      </w:r>
      <w:r>
        <w:rPr>
          <w:rStyle w:val="NormalTok"/>
        </w:rPr>
        <w:t xml:space="preserve"> </w:t>
      </w:r>
      <w:r>
        <w:rPr>
          <w:rStyle w:val="StringTok"/>
        </w:rPr>
        <w:t xml:space="preserve">"graded"</w:t>
      </w:r>
      <w:r>
        <w:rPr>
          <w:rStyle w:val="NormalTok"/>
        </w:rPr>
        <w:t xml:space="preserve">,</w:t>
      </w:r>
      <w:r>
        <w:br/>
      </w:r>
      <w:r>
        <w:rPr>
          <w:rStyle w:val="NormalTok"/>
        </w:rPr>
        <w:t xml:space="preserve">                            </w:t>
      </w:r>
      <w:r>
        <w:rPr>
          <w:rStyle w:val="AttributeTok"/>
        </w:rPr>
        <w:t xml:space="preserve">invariance =</w:t>
      </w:r>
      <w:r>
        <w:rPr>
          <w:rStyle w:val="NormalTok"/>
        </w:rPr>
        <w:t xml:space="preserve"> strong.invariance,</w:t>
      </w:r>
      <w:r>
        <w:br/>
      </w:r>
      <w:r>
        <w:rPr>
          <w:rStyle w:val="NormalTok"/>
        </w:rPr>
        <w:t xml:space="preserve">                            </w:t>
      </w:r>
      <w:r>
        <w:rPr>
          <w:rStyle w:val="AttributeTok"/>
        </w:rPr>
        <w:t xml:space="preserve">verbose =</w:t>
      </w:r>
      <w:r>
        <w:rPr>
          <w:rStyle w:val="NormalTok"/>
        </w:rPr>
        <w:t xml:space="preserve"> F)</w:t>
      </w:r>
      <w:r>
        <w:br/>
      </w:r>
      <w:r>
        <w:br/>
      </w:r>
      <w:r>
        <w:rPr>
          <w:rStyle w:val="FunctionTok"/>
        </w:rPr>
        <w:t xml:space="preserve">DIF</w:t>
      </w:r>
      <w:r>
        <w:rPr>
          <w:rStyle w:val="NormalTok"/>
        </w:rPr>
        <w:t xml:space="preserve">(strong.mod,</w:t>
      </w:r>
      <w:r>
        <w:br/>
      </w:r>
      <w:r>
        <w:rPr>
          <w:rStyle w:val="NormalTok"/>
        </w:rPr>
        <w:t xml:space="preserve">    </w:t>
      </w:r>
      <w:r>
        <w:rPr>
          <w:rStyle w:val="AttributeTok"/>
        </w:rPr>
        <w:t xml:space="preserve">which.par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br/>
      </w:r>
      <w:r>
        <w:rPr>
          <w:rStyle w:val="NormalTok"/>
        </w:rPr>
        <w:t xml:space="preserve">    </w:t>
      </w:r>
      <w:r>
        <w:rPr>
          <w:rStyle w:val="AttributeTok"/>
        </w:rPr>
        <w:t xml:space="preserve">scheme =</w:t>
      </w:r>
      <w:r>
        <w:rPr>
          <w:rStyle w:val="NormalTok"/>
        </w:rPr>
        <w:t xml:space="preserve"> </w:t>
      </w:r>
      <w:r>
        <w:rPr>
          <w:rStyle w:val="StringTok"/>
        </w:rPr>
        <w:t xml:space="preserve">"drop"</w:t>
      </w:r>
      <w:r>
        <w:rPr>
          <w:rStyle w:val="NormalTok"/>
        </w:rPr>
        <w:t xml:space="preserve">)</w:t>
      </w:r>
    </w:p>
    <w:p>
      <w:pPr>
        <w:pStyle w:val="SourceCode"/>
      </w:pPr>
      <w:r>
        <w:rPr>
          <w:rStyle w:val="VerbatimChar"/>
        </w:rPr>
        <w:t xml:space="preserve">       groups converged    AIC  SABIC     HQ    BIC    X2 df     p</w:t>
      </w:r>
      <w:r>
        <w:br/>
      </w:r>
      <w:r>
        <w:rPr>
          <w:rStyle w:val="VerbatimChar"/>
        </w:rPr>
        <w:t xml:space="preserve">cint1     0,1      TRUE  0.013  1.571  1.828  4.747 1.987  1 0.159</w:t>
      </w:r>
      <w:r>
        <w:br/>
      </w:r>
      <w:r>
        <w:rPr>
          <w:rStyle w:val="VerbatimChar"/>
        </w:rPr>
        <w:t xml:space="preserve">cint2     0,1      TRUE -0.454  1.104  1.360  4.279 2.454  1 0.117</w:t>
      </w:r>
      <w:r>
        <w:br/>
      </w:r>
      <w:r>
        <w:rPr>
          <w:rStyle w:val="VerbatimChar"/>
        </w:rPr>
        <w:t xml:space="preserve">cint4     0,1      TRUE -0.826  0.731  0.988  3.907 2.826  1 0.093</w:t>
      </w:r>
      <w:r>
        <w:br/>
      </w:r>
      <w:r>
        <w:rPr>
          <w:rStyle w:val="VerbatimChar"/>
        </w:rPr>
        <w:t xml:space="preserve">cint11    0,1      TRUE -2.737 -1.179 -0.923  1.997 4.737  1  0.03</w:t>
      </w:r>
      <w:r>
        <w:br/>
      </w:r>
      <w:r>
        <w:rPr>
          <w:rStyle w:val="VerbatimChar"/>
        </w:rPr>
        <w:t xml:space="preserve">cint27    0,1      TRUE  0.318  1.876  2.132  5.051 1.682  1 0.195</w:t>
      </w:r>
      <w:r>
        <w:br/>
      </w:r>
      <w:r>
        <w:rPr>
          <w:rStyle w:val="VerbatimChar"/>
        </w:rPr>
        <w:t xml:space="preserve">cint28    0,1      TRUE -0.339  1.218  1.475  4.394 2.339  1 0.126</w:t>
      </w:r>
      <w:r>
        <w:br/>
      </w:r>
      <w:r>
        <w:rPr>
          <w:rStyle w:val="VerbatimChar"/>
        </w:rPr>
        <w:t xml:space="preserve">cint29    0,1      TRUE -9.060 -7.503 -7.246 -4.327 11.06  1 0.001</w:t>
      </w:r>
      <w:r>
        <w:br/>
      </w:r>
      <w:r>
        <w:rPr>
          <w:rStyle w:val="VerbatimChar"/>
        </w:rPr>
        <w:t xml:space="preserve">cint30    0,1      TRUE  1.246  2.803  3.060  5.979 0.754  1 0.385</w:t>
      </w:r>
    </w:p>
    <w:bookmarkEnd w:id="86"/>
    <w:bookmarkStart w:id="87" w:name="summary-of-example"/>
    <w:p>
      <w:pPr>
        <w:pStyle w:val="Heading2"/>
      </w:pPr>
      <w:r>
        <w:t xml:space="preserve">Summary of example</w:t>
      </w:r>
    </w:p>
    <w:p>
      <w:pPr>
        <w:numPr>
          <w:ilvl w:val="0"/>
          <w:numId w:val="1056"/>
        </w:numPr>
        <w:pStyle w:val="Compact"/>
      </w:pPr>
      <w:r>
        <w:t xml:space="preserve">Similar conclusions as LR test, but not exactly the same</w:t>
      </w:r>
    </w:p>
    <w:p>
      <w:pPr>
        <w:numPr>
          <w:ilvl w:val="1"/>
          <w:numId w:val="1057"/>
        </w:numPr>
        <w:pStyle w:val="Compact"/>
      </w:pPr>
      <w:r>
        <w:t xml:space="preserve">Test of item thresholds found same items as LR test</w:t>
      </w:r>
    </w:p>
    <w:p>
      <w:pPr>
        <w:numPr>
          <w:ilvl w:val="1"/>
          <w:numId w:val="1057"/>
        </w:numPr>
        <w:pStyle w:val="Compact"/>
      </w:pPr>
      <w:r>
        <w:t xml:space="preserve">Chi-square test found 2 additional items with DIF (due to on slopes)</w:t>
      </w:r>
    </w:p>
    <w:p>
      <w:pPr>
        <w:numPr>
          <w:ilvl w:val="0"/>
          <w:numId w:val="1056"/>
        </w:numPr>
        <w:pStyle w:val="Compact"/>
      </w:pPr>
      <w:r>
        <w:t xml:space="preserve">Next steps</w:t>
      </w:r>
    </w:p>
    <w:p>
      <w:pPr>
        <w:numPr>
          <w:ilvl w:val="1"/>
          <w:numId w:val="1058"/>
        </w:numPr>
        <w:pStyle w:val="Compact"/>
      </w:pPr>
      <w:r>
        <w:t xml:space="preserve">Can follow up with partial invariance model as before to examine item-level effects</w:t>
      </w:r>
    </w:p>
    <w:p>
      <w:pPr>
        <w:numPr>
          <w:ilvl w:val="1"/>
          <w:numId w:val="1058"/>
        </w:numPr>
        <w:pStyle w:val="Compact"/>
      </w:pPr>
      <w:r>
        <w:t xml:space="preserve">May consider revising or omit items …</w:t>
      </w:r>
    </w:p>
    <w:p>
      <w:pPr>
        <w:numPr>
          <w:ilvl w:val="0"/>
          <w:numId w:val="1056"/>
        </w:numPr>
        <w:pStyle w:val="Compact"/>
      </w:pPr>
      <w:r>
        <w:t xml:space="preserve">Other concerns</w:t>
      </w:r>
    </w:p>
    <w:p>
      <w:pPr>
        <w:numPr>
          <w:ilvl w:val="1"/>
          <w:numId w:val="1059"/>
        </w:numPr>
        <w:pStyle w:val="Compact"/>
      </w:pPr>
      <w:r>
        <w:t xml:space="preserve">Different DIF methods lead to different conclusions (in general)</w:t>
      </w:r>
    </w:p>
    <w:p>
      <w:pPr>
        <w:numPr>
          <w:ilvl w:val="1"/>
          <w:numId w:val="1059"/>
        </w:numPr>
        <w:pStyle w:val="Compact"/>
      </w:pPr>
      <w:r>
        <w:t xml:space="preserve">Does any of this affect conclusions about impact??</w:t>
      </w:r>
    </w:p>
    <w:bookmarkEnd w:id="87"/>
    <w:bookmarkEnd w:id="88"/>
    <w:bookmarkStart w:id="102" w:name="dtf"/>
    <w:p>
      <w:pPr>
        <w:pStyle w:val="Heading1"/>
      </w:pPr>
      <w:r>
        <w:t xml:space="preserve">DTF</w:t>
      </w:r>
    </w:p>
    <w:p>
      <w:pPr>
        <w:numPr>
          <w:ilvl w:val="0"/>
          <w:numId w:val="1060"/>
        </w:numPr>
        <w:pStyle w:val="Compact"/>
      </w:pPr>
      <w:r>
        <w:t xml:space="preserve">Differential test functioning: does DIF affect conclusions about impact?</w:t>
      </w:r>
    </w:p>
    <w:bookmarkStart w:id="89" w:name="recapping-where-we-are"/>
    <w:p>
      <w:pPr>
        <w:pStyle w:val="Heading2"/>
      </w:pPr>
      <w:r>
        <w:t xml:space="preserve">Recapping where we are</w:t>
      </w:r>
    </w:p>
    <w:p>
      <w:pPr>
        <w:numPr>
          <w:ilvl w:val="0"/>
          <w:numId w:val="1061"/>
        </w:numPr>
        <w:pStyle w:val="Compact"/>
      </w:pPr>
      <w:r>
        <w:t xml:space="preserve">DIF analysis is about items</w:t>
      </w:r>
    </w:p>
    <w:p>
      <w:pPr>
        <w:numPr>
          <w:ilvl w:val="1"/>
          <w:numId w:val="1062"/>
        </w:numPr>
        <w:pStyle w:val="Compact"/>
      </w:pPr>
      <w:r>
        <w:t xml:space="preserve">Useful for test development</w:t>
      </w:r>
    </w:p>
    <w:p>
      <w:pPr>
        <w:numPr>
          <w:ilvl w:val="0"/>
          <w:numId w:val="1061"/>
        </w:numPr>
        <w:pStyle w:val="Compact"/>
      </w:pPr>
      <w:r>
        <w:t xml:space="preserve">DIF analysis does not provide a direct way of inferring whether DIF affects conclusions about impact</w:t>
      </w:r>
    </w:p>
    <w:p>
      <w:pPr>
        <w:numPr>
          <w:ilvl w:val="1"/>
          <w:numId w:val="1063"/>
        </w:numPr>
        <w:pStyle w:val="Compact"/>
      </w:pPr>
      <w:r>
        <w:t xml:space="preserve">Often what we care about in research!</w:t>
      </w:r>
    </w:p>
    <w:bookmarkEnd w:id="89"/>
    <w:bookmarkStart w:id="90" w:name="using-robust-dif-to-address-impact"/>
    <w:p>
      <w:pPr>
        <w:pStyle w:val="Heading2"/>
      </w:pPr>
      <w:r>
        <w:t xml:space="preserve">Using robust DIF to address impact</w:t>
      </w:r>
    </w:p>
    <w:p>
      <w:pPr>
        <w:numPr>
          <w:ilvl w:val="0"/>
          <w:numId w:val="1064"/>
        </w:numPr>
      </w:pPr>
      <w:r>
        <w:t xml:space="preserve">So far we have focused on using a robust estimate of scaling parameters (impact) as a way to test for DIF individual items</w:t>
      </w:r>
    </w:p>
    <w:p>
      <w:pPr>
        <w:numPr>
          <w:ilvl w:val="0"/>
          <w:numId w:val="1064"/>
        </w:numPr>
      </w:pPr>
      <w:r>
        <w:t xml:space="preserve">We can also compare the robust estimate to a</w:t>
      </w:r>
      <w:r>
        <w:t xml:space="preserve"> </w:t>
      </w:r>
      <w:r>
        <w:t xml:space="preserve">“</w:t>
      </w:r>
      <w:r>
        <w:t xml:space="preserve">naive</w:t>
      </w:r>
      <w:r>
        <w:t xml:space="preserve">”</w:t>
      </w:r>
      <w:r>
        <w:t xml:space="preserve"> </w:t>
      </w:r>
      <w:r>
        <w:t xml:space="preserve">estimate that would arise if we ignored DIF</w:t>
      </w:r>
    </w:p>
    <w:p>
      <w:pPr>
        <w:numPr>
          <w:ilvl w:val="1"/>
          <w:numId w:val="1065"/>
        </w:numPr>
        <w:pStyle w:val="Compact"/>
      </w:pPr>
      <w:r>
        <w:t xml:space="preserve">e.g., maximum likelihood estimate (MLE) of impact, based on the same scaling procedure</w:t>
      </w:r>
    </w:p>
    <w:p>
      <w:pPr>
        <w:numPr>
          <w:ilvl w:val="0"/>
          <w:numId w:val="1064"/>
        </w:numPr>
      </w:pPr>
      <w:r>
        <w:t xml:space="preserve">If the two estimates give the</w:t>
      </w:r>
      <w:r>
        <w:t xml:space="preserve"> </w:t>
      </w:r>
      <w:r>
        <w:t xml:space="preserve">“</w:t>
      </w:r>
      <w:r>
        <w:t xml:space="preserve">same</w:t>
      </w:r>
      <w:r>
        <w:t xml:space="preserve">”</w:t>
      </w:r>
      <w:r>
        <w:t xml:space="preserve"> </w:t>
      </w:r>
      <w:r>
        <w:t xml:space="preserve">result, then DIF does not affect conclusions about impact</w:t>
      </w:r>
    </w:p>
    <w:p>
      <w:pPr>
        <w:numPr>
          <w:ilvl w:val="1"/>
          <w:numId w:val="1066"/>
        </w:numPr>
        <w:pStyle w:val="Compact"/>
      </w:pPr>
      <w:r>
        <w:t xml:space="preserve">i.e., if we ignored DIF, we would arrive at the same conclusion about how groups differ</w:t>
      </w:r>
    </w:p>
    <w:bookmarkEnd w:id="90"/>
    <w:bookmarkStart w:id="91" w:name="logic-of-test"/>
    <w:p>
      <w:pPr>
        <w:pStyle w:val="Heading2"/>
      </w:pPr>
      <w:r>
        <w:t xml:space="preserve">Logic of test</w:t>
      </w:r>
    </w:p>
    <w:p>
      <w:pPr>
        <w:numPr>
          <w:ilvl w:val="0"/>
          <w:numId w:val="1067"/>
        </w:numPr>
      </w:pPr>
      <w:r>
        <w:t xml:space="preserve">The logic of this test is the similar to the Hausman specification test</w:t>
      </w:r>
    </w:p>
    <w:p>
      <w:pPr>
        <w:numPr>
          <w:ilvl w:val="0"/>
          <w:numId w:val="1067"/>
        </w:numPr>
      </w:pPr>
      <w:r>
        <w:t xml:space="preserve">Under the null hypothesis, both the robust estimate and the MLE are consistent (unbiased) estimates of the</w:t>
      </w:r>
      <w:r>
        <w:t xml:space="preserve"> </w:t>
      </w:r>
      <w:r>
        <w:t xml:space="preserve">“</w:t>
      </w:r>
      <w:r>
        <w:t xml:space="preserve">true</w:t>
      </w:r>
      <w:r>
        <w:t xml:space="preserve">”</w:t>
      </w:r>
      <w:r>
        <w:t xml:space="preserve"> </w:t>
      </w:r>
      <w:r>
        <w:t xml:space="preserve">impact</w:t>
      </w:r>
    </w:p>
    <w:p>
      <w:pPr>
        <w:numPr>
          <w:ilvl w:val="1"/>
          <w:numId w:val="1068"/>
        </w:numPr>
        <w:pStyle w:val="Compact"/>
      </w:pPr>
      <w:r>
        <w:t xml:space="preserve">The MLE is more efficient, but this is not very important for us</w:t>
      </w:r>
    </w:p>
    <w:p>
      <w:pPr>
        <w:numPr>
          <w:ilvl w:val="0"/>
          <w:numId w:val="1067"/>
        </w:numPr>
      </w:pPr>
      <w:r>
        <w:t xml:space="preserve">Under the alternative hypothesis, the both may be inconsistent, but the robust estimate will be less biased</w:t>
      </w:r>
    </w:p>
    <w:p>
      <w:pPr>
        <w:numPr>
          <w:ilvl w:val="1"/>
          <w:numId w:val="1069"/>
        </w:numPr>
        <w:pStyle w:val="Compact"/>
      </w:pPr>
      <w:r>
        <w:t xml:space="preserve">Assuming &lt; 50% of items exhibit DIF</w:t>
      </w:r>
    </w:p>
    <w:p>
      <w:pPr>
        <w:numPr>
          <w:ilvl w:val="0"/>
          <w:numId w:val="1067"/>
        </w:numPr>
      </w:pPr>
      <w:r>
        <w:t xml:space="preserve">Consequently, the difference between the estimates can be used to test for the affect of DIF on impact</w:t>
      </w:r>
    </w:p>
    <w:bookmarkEnd w:id="91"/>
    <w:bookmarkStart w:id="95" w:name="simulation-studies"/>
    <w:p>
      <w:pPr>
        <w:pStyle w:val="Heading2"/>
      </w:pPr>
      <w:r>
        <w:t xml:space="preserve">Simulation studies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918091"/>
                  <wp:effectExtent b="0" l="0" r="0" t="0"/>
                  <wp:docPr descr="" title="" id="93" name="Picture"/>
                  <a:graphic>
                    <a:graphicData uri="http://schemas.openxmlformats.org/drawingml/2006/picture">
                      <pic:pic>
                        <pic:nvPicPr>
                          <pic:cNvPr descr="DTF1.png" id="94" name="Picture"/>
                          <pic:cNvPicPr>
                            <a:picLocks noChangeArrowheads="1" noChangeAspect="1"/>
                          </pic:cNvPicPr>
                        </pic:nvPicPr>
                        <pic:blipFill>
                          <a:blip r:embed="rId92"/>
                          <a:stretch>
                            <a:fillRect/>
                          </a:stretch>
                        </pic:blipFill>
                        <pic:spPr bwMode="auto">
                          <a:xfrm>
                            <a:off x="0" y="0"/>
                            <a:ext cx="5334000" cy="2918091"/>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95"/>
    <w:bookmarkStart w:id="99" w:name="simulation-studies-1"/>
    <w:p>
      <w:pPr>
        <w:pStyle w:val="Heading2"/>
      </w:pPr>
      <w:r>
        <w:t xml:space="preserve">Simulation studies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277104"/>
                  <wp:effectExtent b="0" l="0" r="0" t="0"/>
                  <wp:docPr descr="" title="" id="97" name="Picture"/>
                  <a:graphic>
                    <a:graphicData uri="http://schemas.openxmlformats.org/drawingml/2006/picture">
                      <pic:pic>
                        <pic:nvPicPr>
                          <pic:cNvPr descr="DTF2.png" id="98" name="Picture"/>
                          <pic:cNvPicPr>
                            <a:picLocks noChangeArrowheads="1" noChangeAspect="1"/>
                          </pic:cNvPicPr>
                        </pic:nvPicPr>
                        <pic:blipFill>
                          <a:blip r:embed="rId96"/>
                          <a:stretch>
                            <a:fillRect/>
                          </a:stretch>
                        </pic:blipFill>
                        <pic:spPr bwMode="auto">
                          <a:xfrm>
                            <a:off x="0" y="0"/>
                            <a:ext cx="5334000" cy="5277104"/>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99"/>
    <w:bookmarkStart w:id="100" w:name="relation-to-mi"/>
    <w:p>
      <w:pPr>
        <w:pStyle w:val="Heading2"/>
      </w:pPr>
      <w:r>
        <w:t xml:space="preserve">Relation to MI</w:t>
      </w:r>
    </w:p>
    <w:p>
      <w:pPr>
        <w:numPr>
          <w:ilvl w:val="0"/>
          <w:numId w:val="1070"/>
        </w:numPr>
        <w:pStyle w:val="Compact"/>
      </w:pPr>
      <w:r>
        <w:t xml:space="preserve">In MI, we test whether (a subset of) item parameters are equal over groups</w:t>
      </w:r>
    </w:p>
    <w:p>
      <w:pPr>
        <w:numPr>
          <w:ilvl w:val="0"/>
          <w:numId w:val="1070"/>
        </w:numPr>
        <w:pStyle w:val="Compact"/>
      </w:pPr>
      <w:r>
        <w:t xml:space="preserve">May reject MI with little affect on impact</w:t>
      </w:r>
    </w:p>
    <w:p>
      <w:pPr>
        <w:numPr>
          <w:ilvl w:val="1"/>
          <w:numId w:val="1071"/>
        </w:numPr>
        <w:pStyle w:val="Compact"/>
      </w:pPr>
      <w:r>
        <w:t xml:space="preserve">DIF on a single item may be negligible when averaged over many items</w:t>
      </w:r>
    </w:p>
    <w:p>
      <w:pPr>
        <w:numPr>
          <w:ilvl w:val="1"/>
          <w:numId w:val="1071"/>
        </w:numPr>
        <w:pStyle w:val="Compact"/>
      </w:pPr>
      <w:r>
        <w:t xml:space="preserve">DIF in opposite directions can cancel out over items</w:t>
      </w:r>
    </w:p>
    <w:p>
      <w:pPr>
        <w:numPr>
          <w:ilvl w:val="0"/>
          <w:numId w:val="1070"/>
        </w:numPr>
        <w:pStyle w:val="Compact"/>
      </w:pPr>
      <w:r>
        <w:t xml:space="preserve">In testing DTF</w:t>
      </w:r>
    </w:p>
    <w:p>
      <w:pPr>
        <w:numPr>
          <w:ilvl w:val="1"/>
          <w:numId w:val="1072"/>
        </w:numPr>
        <w:pStyle w:val="Compact"/>
      </w:pPr>
      <w:r>
        <w:t xml:space="preserve">We don’t test any item parameters (although may down weight!)</w:t>
      </w:r>
    </w:p>
    <w:p>
      <w:pPr>
        <w:numPr>
          <w:ilvl w:val="1"/>
          <w:numId w:val="1072"/>
        </w:numPr>
        <w:pStyle w:val="Compact"/>
      </w:pPr>
      <w:r>
        <w:t xml:space="preserve">We just test whether two estimates of impact are equal</w:t>
      </w:r>
    </w:p>
    <w:p>
      <w:pPr>
        <w:numPr>
          <w:ilvl w:val="1"/>
          <w:numId w:val="1072"/>
        </w:numPr>
        <w:pStyle w:val="Compact"/>
      </w:pPr>
      <w:r>
        <w:t xml:space="preserve">Note that items there may be still items with DIF even if impact is not affected!</w:t>
      </w:r>
    </w:p>
    <w:bookmarkEnd w:id="100"/>
    <w:bookmarkStart w:id="101" w:name="implications-for-practice"/>
    <w:p>
      <w:pPr>
        <w:pStyle w:val="Heading2"/>
      </w:pPr>
      <w:r>
        <w:t xml:space="preserve">Implications for practice</w:t>
      </w:r>
    </w:p>
    <w:p>
      <w:pPr>
        <w:numPr>
          <w:ilvl w:val="0"/>
          <w:numId w:val="1073"/>
        </w:numPr>
      </w:pPr>
      <w:r>
        <w:t xml:space="preserve">If all we want is to compare groups test scores:</w:t>
      </w:r>
    </w:p>
    <w:p>
      <w:pPr>
        <w:numPr>
          <w:ilvl w:val="1"/>
          <w:numId w:val="1074"/>
        </w:numPr>
      </w:pPr>
      <w:r>
        <w:t xml:space="preserve">Using robust approach, we can test for DTF without</w:t>
      </w:r>
      <w:r>
        <w:t xml:space="preserve"> </w:t>
      </w:r>
      <w:r>
        <w:rPr>
          <w:iCs/>
          <w:i/>
        </w:rPr>
        <w:t xml:space="preserve">before</w:t>
      </w:r>
      <w:r>
        <w:t xml:space="preserve"> </w:t>
      </w:r>
      <w:r>
        <w:t xml:space="preserve">having to do item-by-item DIF analysis</w:t>
      </w:r>
    </w:p>
    <w:p>
      <w:pPr>
        <w:numPr>
          <w:ilvl w:val="1"/>
          <w:numId w:val="1074"/>
        </w:numPr>
      </w:pPr>
      <w:r>
        <w:t xml:space="preserve">If there is no DTF, can proceed with group comparisons without doing DIF analysis</w:t>
      </w:r>
    </w:p>
    <w:p>
      <w:pPr>
        <w:numPr>
          <w:ilvl w:val="1"/>
          <w:numId w:val="1074"/>
        </w:numPr>
      </w:pPr>
      <w:r>
        <w:t xml:space="preserve">If there is DTF, can follow up with item-by-item analyses, test revisions, etc, before making comparisons</w:t>
      </w:r>
    </w:p>
    <w:bookmarkEnd w:id="101"/>
    <w:bookmarkEnd w:id="102"/>
    <w:bookmarkStart w:id="103" w:name="back-to-the-example"/>
    <w:p>
      <w:pPr>
        <w:pStyle w:val="Heading1"/>
      </w:pPr>
      <w:r>
        <w:t xml:space="preserve">Back to the example</w:t>
      </w:r>
    </w:p>
    <w:p>
      <w:pPr>
        <w:pStyle w:val="SourceCode"/>
      </w:pPr>
      <w:r>
        <w:rPr>
          <w:rStyle w:val="FunctionTok"/>
        </w:rPr>
        <w:t xml:space="preserve">delta_test</w:t>
      </w:r>
      <w:r>
        <w:rPr>
          <w:rStyle w:val="NormalTok"/>
        </w:rPr>
        <w:t xml:space="preserve">(mirt.parms)</w:t>
      </w:r>
    </w:p>
    <w:p>
      <w:pPr>
        <w:pStyle w:val="SourceCode"/>
      </w:pPr>
      <w:r>
        <w:rPr>
          <w:rStyle w:val="VerbatimChar"/>
        </w:rPr>
        <w:t xml:space="preserve"> rdif.est    ml.est     delta  se.delta    z.test     p.val </w:t>
      </w:r>
      <w:r>
        <w:br/>
      </w:r>
      <w:r>
        <w:rPr>
          <w:rStyle w:val="VerbatimChar"/>
        </w:rPr>
        <w:t xml:space="preserve">0.4042220 0.3955726 0.0086494 0.0396633 0.2180706 0.8273741 </w:t>
      </w:r>
    </w:p>
    <w:p>
      <w:pPr>
        <w:numPr>
          <w:ilvl w:val="0"/>
          <w:numId w:val="1075"/>
        </w:numPr>
        <w:pStyle w:val="Compact"/>
      </w:pPr>
      <w:r>
        <w:t xml:space="preserve">Conclusion: The naive and robust gender mean-differences on depression do not differ</w:t>
      </w:r>
    </w:p>
    <w:bookmarkEnd w:id="103"/>
    <w:bookmarkStart w:id="104" w:name="summary-1"/>
    <w:p>
      <w:pPr>
        <w:pStyle w:val="Heading1"/>
      </w:pPr>
      <w:r>
        <w:t xml:space="preserve">Summary</w:t>
      </w:r>
    </w:p>
    <w:p>
      <w:pPr>
        <w:numPr>
          <w:ilvl w:val="0"/>
          <w:numId w:val="1076"/>
        </w:numPr>
      </w:pPr>
      <w:r>
        <w:t xml:space="preserve">In test development, we almost always want to know about DIF at the item level</w:t>
      </w:r>
    </w:p>
    <w:p>
      <w:pPr>
        <w:numPr>
          <w:ilvl w:val="0"/>
          <w:numId w:val="1076"/>
        </w:numPr>
      </w:pPr>
      <w:r>
        <w:t xml:space="preserve">In research settings, sometimes we just care about whether comparisons between groups are biased or not</w:t>
      </w:r>
    </w:p>
    <w:p>
      <w:pPr>
        <w:numPr>
          <w:ilvl w:val="0"/>
          <w:numId w:val="1076"/>
        </w:numPr>
      </w:pPr>
      <w:r>
        <w:t xml:space="preserve">Using robust scaling, we can make inferences about DTF</w:t>
      </w:r>
      <w:r>
        <w:t xml:space="preserve"> </w:t>
      </w:r>
      <w:r>
        <w:rPr>
          <w:iCs/>
          <w:i/>
        </w:rPr>
        <w:t xml:space="preserve">before</w:t>
      </w:r>
      <w:r>
        <w:t xml:space="preserve"> </w:t>
      </w:r>
      <w:r>
        <w:t xml:space="preserve">doing an item-by-item DIF analysis</w:t>
      </w:r>
    </w:p>
    <w:p>
      <w:pPr>
        <w:numPr>
          <w:ilvl w:val="1"/>
          <w:numId w:val="1077"/>
        </w:numPr>
        <w:pStyle w:val="Compact"/>
      </w:pPr>
      <w:r>
        <w:t xml:space="preserve">Trick: compare two estimates of impact, naive and robust</w:t>
      </w:r>
    </w:p>
    <w:p>
      <w:pPr>
        <w:numPr>
          <w:ilvl w:val="0"/>
          <w:numId w:val="1076"/>
        </w:numPr>
      </w:pPr>
      <w:r>
        <w:t xml:space="preserve">Unlike tests of MI, we are not testing whether all items are DIF-free</w:t>
      </w:r>
    </w:p>
    <w:p>
      <w:pPr>
        <w:numPr>
          <w:ilvl w:val="1"/>
          <w:numId w:val="1078"/>
        </w:numPr>
        <w:pStyle w:val="Compact"/>
      </w:pPr>
      <w:r>
        <w:t xml:space="preserve">We are just testing whether DIF affects conclusions about impact</w:t>
      </w:r>
    </w:p>
    <w:p>
      <w:pPr>
        <w:numPr>
          <w:ilvl w:val="0"/>
          <w:numId w:val="1076"/>
        </w:numPr>
      </w:pPr>
      <w:r>
        <w:t xml:space="preserve">If we conclude there is no DTF, there may or not be DIF</w:t>
      </w:r>
    </w:p>
    <w:p>
      <w:pPr>
        <w:numPr>
          <w:ilvl w:val="1"/>
          <w:numId w:val="1079"/>
        </w:numPr>
        <w:pStyle w:val="Compact"/>
      </w:pPr>
      <w:r>
        <w:t xml:space="preserve">If we really want to know about the individual items, need to do the DIF analysis!</w:t>
      </w:r>
    </w:p>
    <w:bookmarkEnd w:id="104"/>
    <w:bookmarkStart w:id="109" w:name="wrapping-up"/>
    <w:p>
      <w:pPr>
        <w:pStyle w:val="Heading1"/>
      </w:pPr>
      <w:r>
        <w:t xml:space="preserve">Wrapping up</w:t>
      </w:r>
    </w:p>
    <w:bookmarkStart w:id="105" w:name="what-we-have-covered-today"/>
    <w:p>
      <w:pPr>
        <w:pStyle w:val="Heading2"/>
      </w:pPr>
      <w:r>
        <w:t xml:space="preserve">What we have covered today</w:t>
      </w:r>
    </w:p>
    <w:p>
      <w:pPr>
        <w:numPr>
          <w:ilvl w:val="0"/>
          <w:numId w:val="1080"/>
        </w:numPr>
        <w:pStyle w:val="Compact"/>
      </w:pPr>
      <w:r>
        <w:t xml:space="preserve">IRT-based scaling and its relation to DIF</w:t>
      </w:r>
    </w:p>
    <w:p>
      <w:pPr>
        <w:numPr>
          <w:ilvl w:val="1"/>
          <w:numId w:val="1081"/>
        </w:numPr>
        <w:pStyle w:val="Compact"/>
      </w:pPr>
      <w:r>
        <w:t xml:space="preserve">More info on scaling in appendix</w:t>
      </w:r>
    </w:p>
    <w:p>
      <w:pPr>
        <w:numPr>
          <w:ilvl w:val="0"/>
          <w:numId w:val="1080"/>
        </w:numPr>
        <w:pStyle w:val="Compact"/>
      </w:pPr>
      <w:r>
        <w:t xml:space="preserve">Robust scaling</w:t>
      </w:r>
    </w:p>
    <w:p>
      <w:pPr>
        <w:numPr>
          <w:ilvl w:val="1"/>
          <w:numId w:val="1082"/>
        </w:numPr>
        <w:pStyle w:val="Compact"/>
      </w:pPr>
      <w:r>
        <w:t xml:space="preserve">See Halpin 2022 for technical details</w:t>
      </w:r>
    </w:p>
    <w:p>
      <w:pPr>
        <w:numPr>
          <w:ilvl w:val="0"/>
          <w:numId w:val="1080"/>
        </w:numPr>
        <w:pStyle w:val="Compact"/>
      </w:pPr>
      <w:r>
        <w:t xml:space="preserve">Tests of DIF based on robust scaling</w:t>
      </w:r>
    </w:p>
    <w:p>
      <w:pPr>
        <w:numPr>
          <w:ilvl w:val="1"/>
          <w:numId w:val="1083"/>
        </w:numPr>
        <w:pStyle w:val="Compact"/>
      </w:pPr>
      <w:r>
        <w:rPr>
          <w:rStyle w:val="VerbatimChar"/>
        </w:rPr>
        <w:t xml:space="preserve">rdif_z_test</w:t>
      </w:r>
      <w:r>
        <w:t xml:space="preserve"> </w:t>
      </w:r>
      <w:r>
        <w:t xml:space="preserve">and</w:t>
      </w:r>
      <w:r>
        <w:t xml:space="preserve"> </w:t>
      </w:r>
      <w:r>
        <w:rPr>
          <w:rStyle w:val="VerbatimChar"/>
        </w:rPr>
        <w:t xml:space="preserve">rdif_chisq_test</w:t>
      </w:r>
    </w:p>
    <w:p>
      <w:pPr>
        <w:numPr>
          <w:ilvl w:val="0"/>
          <w:numId w:val="1080"/>
        </w:numPr>
        <w:pStyle w:val="Compact"/>
      </w:pPr>
      <w:r>
        <w:t xml:space="preserve">Tests of DTF (impact) based on robust scaling</w:t>
      </w:r>
    </w:p>
    <w:p>
      <w:pPr>
        <w:numPr>
          <w:ilvl w:val="1"/>
          <w:numId w:val="1084"/>
        </w:numPr>
        <w:pStyle w:val="Compact"/>
      </w:pPr>
      <w:r>
        <w:rPr>
          <w:rStyle w:val="VerbatimChar"/>
        </w:rPr>
        <w:t xml:space="preserve">delta_test</w:t>
      </w:r>
    </w:p>
    <w:p>
      <w:pPr>
        <w:numPr>
          <w:ilvl w:val="0"/>
          <w:numId w:val="1080"/>
        </w:numPr>
        <w:pStyle w:val="Compact"/>
      </w:pPr>
      <w:r>
        <w:t xml:space="preserve">Worked example</w:t>
      </w:r>
    </w:p>
    <w:bookmarkEnd w:id="105"/>
    <w:bookmarkStart w:id="106" w:name="caveats-and-future-directions"/>
    <w:p>
      <w:pPr>
        <w:pStyle w:val="Heading2"/>
      </w:pPr>
      <w:r>
        <w:t xml:space="preserve">Caveats and future directions</w:t>
      </w:r>
    </w:p>
    <w:p>
      <w:pPr>
        <w:numPr>
          <w:ilvl w:val="0"/>
          <w:numId w:val="1085"/>
        </w:numPr>
        <w:pStyle w:val="Compact"/>
      </w:pPr>
      <w:r>
        <w:rPr>
          <w:rStyle w:val="VerbatimChar"/>
        </w:rPr>
        <w:t xml:space="preserve">robustDIF</w:t>
      </w:r>
      <w:r>
        <w:t xml:space="preserve"> </w:t>
      </w:r>
      <w:r>
        <w:t xml:space="preserve">is in early stages of development</w:t>
      </w:r>
    </w:p>
    <w:p>
      <w:pPr>
        <w:numPr>
          <w:ilvl w:val="1"/>
          <w:numId w:val="1086"/>
        </w:numPr>
        <w:pStyle w:val="Compact"/>
      </w:pPr>
      <w:r>
        <w:t xml:space="preserve">Just added support for categorical data last week!</w:t>
      </w:r>
    </w:p>
    <w:p>
      <w:pPr>
        <w:numPr>
          <w:ilvl w:val="1"/>
          <w:numId w:val="1086"/>
        </w:numPr>
        <w:pStyle w:val="Compact"/>
      </w:pPr>
      <w:r>
        <w:t xml:space="preserve">Working on multiple groups this winter</w:t>
      </w:r>
    </w:p>
    <w:p>
      <w:pPr>
        <w:numPr>
          <w:ilvl w:val="1"/>
          <w:numId w:val="1086"/>
        </w:numPr>
        <w:pStyle w:val="Compact"/>
      </w:pPr>
      <w:r>
        <w:t xml:space="preserve">Sure to be many bugs and issues!</w:t>
      </w:r>
    </w:p>
    <w:p>
      <w:pPr>
        <w:numPr>
          <w:ilvl w:val="0"/>
          <w:numId w:val="1085"/>
        </w:numPr>
        <w:pStyle w:val="Compact"/>
      </w:pPr>
      <w:r>
        <w:t xml:space="preserve">Please feel free to contact me with questions about the software or ideas for new developments!</w:t>
      </w:r>
    </w:p>
    <w:p>
      <w:pPr>
        <w:numPr>
          <w:ilvl w:val="1"/>
          <w:numId w:val="1087"/>
        </w:numPr>
        <w:pStyle w:val="Compact"/>
      </w:pPr>
      <w:r>
        <w:rPr>
          <w:rStyle w:val="VerbatimChar"/>
        </w:rPr>
        <w:t xml:space="preserve">peter.halpin@unc.edu</w:t>
      </w:r>
    </w:p>
    <w:bookmarkEnd w:id="106"/>
    <w:bookmarkStart w:id="107" w:name="references"/>
    <w:p>
      <w:pPr>
        <w:pStyle w:val="Heading2"/>
      </w:pPr>
      <w:r>
        <w:t xml:space="preserve">References</w:t>
      </w:r>
    </w:p>
    <w:p>
      <w:pPr>
        <w:pStyle w:val="FirstParagraph"/>
      </w:pPr>
      <w:r>
        <w:t xml:space="preserve">Bechger, T. M., &amp; Maris, G. (2015). A Statistical Test for Differential Item Pair Functioning. Psychometrika, 80, 317–340. https://doi.org/10.1007/s11336- 014- 9408- y</w:t>
      </w:r>
    </w:p>
    <w:p>
      <w:pPr>
        <w:pStyle w:val="BodyText"/>
      </w:pPr>
      <w:r>
        <w:t xml:space="preserve">Belzak, W. C. M., &amp; Bauer, D. J. (2020). Improving the assessment of measurement invariance: Using regularization to select anchor items and identify differential item functioning. Psychological Methods, 25(6), 673–690. https://doi.org/10.1037/met0000253 He, Y., &amp;</w:t>
      </w:r>
    </w:p>
    <w:p>
      <w:pPr>
        <w:pStyle w:val="BodyText"/>
      </w:pPr>
      <w:r>
        <w:t xml:space="preserve">He, Y., &amp; Cui, Z. (2020). Evaluating Robust Scale Transformation Methods With Multiple Outlying Common Items Under IRT True Score Equating. Applied Psychological Measurement, 44(4), 296–310. https://doi.org/10.1177/0146621619886050</w:t>
      </w:r>
    </w:p>
    <w:p>
      <w:pPr>
        <w:pStyle w:val="BodyText"/>
      </w:pPr>
      <w:r>
        <w:t xml:space="preserve">He, Y., Cui, Z., &amp; Osterlind, S. J. (2015). New Robust Scale Transformation Methods in the Presence of Outlying Common Items. Applied Psychological Measurement, 39(8), 613–626.https://doi.org/10.1177/0146621615587003</w:t>
      </w:r>
    </w:p>
    <w:p>
      <w:pPr>
        <w:pStyle w:val="BodyText"/>
      </w:pPr>
      <w:r>
        <w:t xml:space="preserve">Huber, P. J., &amp; Ronchetti, E. (2009). Robust statistics (2nd ed). Wiley.</w:t>
      </w:r>
    </w:p>
    <w:p>
      <w:pPr>
        <w:pStyle w:val="BodyText"/>
      </w:pPr>
      <w:r>
        <w:t xml:space="preserve">Magis, D., Tuerlinckx, F., &amp; De Boeck, P. (2015). Detection of Differential Item Functioning Using the Lasso Approach. Journal of Educational and Behavioral Statistics, 40(2), 111–135. https://doi.org/10.3102/1076998614559747</w:t>
      </w:r>
    </w:p>
    <w:bookmarkEnd w:id="107"/>
    <w:bookmarkStart w:id="108" w:name="references-1"/>
    <w:p>
      <w:pPr>
        <w:pStyle w:val="Heading2"/>
      </w:pPr>
      <w:r>
        <w:t xml:space="preserve">References</w:t>
      </w:r>
    </w:p>
    <w:p>
      <w:pPr>
        <w:pStyle w:val="FirstParagraph"/>
      </w:pPr>
      <w:r>
        <w:t xml:space="preserve">Schauberger, G., &amp; Mair, P. (2020). A regularization approach for the detection of differential item functioning in generalized partial credit models. Behavior Research Methods, 52(1), 279–294. https://doi.org/10.3758/s13428-019-01224-2</w:t>
      </w:r>
    </w:p>
    <w:p>
      <w:pPr>
        <w:pStyle w:val="BodyText"/>
      </w:pPr>
      <w:r>
        <w:t xml:space="preserve">Stocking, M. L., &amp; Lord, F. M. (1983). Developing a Common Metric in Item Response Theory. Applied Psychological Measurement, 7(2), 201–210. https://doi.org/10.1177/014662168300700208</w:t>
      </w:r>
    </w:p>
    <w:p>
      <w:pPr>
        <w:pStyle w:val="BodyText"/>
      </w:pPr>
      <w:r>
        <w:t xml:space="preserve">Teresi, J. A., Wang, C., Kleinman, M., Jones, R. N., &amp; Weiss, D. J. (2021). Differential Item Functioning Analyses of the Patient-Reported Outcomes Measurement Information System (PROMIS) Measures: Methods, Challenges, Advances, and Future Directions. Psychometrika, 86(3), 674–711. https://doi.org/10.1007/s11336-021-09775-0</w:t>
      </w:r>
    </w:p>
    <w:p>
      <w:pPr>
        <w:pStyle w:val="BodyText"/>
      </w:pPr>
      <w:r>
        <w:t xml:space="preserve">Wang, W., Liu, Y., &amp; Liu, H. (2022). Testing Differential Item Functioning Without Predefined Anchor Items Using Robust Regression. Journal of Educational and Behavioral Statistics, 47(6), 666–692. https://doi.org/10.3102/10769986221109208</w:t>
      </w:r>
    </w:p>
    <w:p>
      <w:pPr>
        <w:pStyle w:val="BodyText"/>
      </w:pPr>
      <w:r>
        <w:t xml:space="preserve">Yuan, K.-H., Liu, H., &amp; Han, Y. (2021). Differential Item Functioning Analysis Without A Priori Information on Anchor Items: QQ Plots and Graphical Test. Psychometrika, 86(2), 345–377. https://doi.org/10.1007/s11336-021-09746-5</w:t>
      </w:r>
    </w:p>
    <w:bookmarkEnd w:id="108"/>
    <w:bookmarkEnd w:id="109"/>
    <w:bookmarkStart w:id="113" w:name="appendix"/>
    <w:p>
      <w:pPr>
        <w:pStyle w:val="Heading1"/>
      </w:pPr>
      <w:r>
        <w:t xml:space="preserve">Appendix</w:t>
      </w:r>
    </w:p>
    <w:bookmarkStart w:id="110" w:name="more-about-scaling"/>
    <w:p>
      <w:pPr>
        <w:pStyle w:val="Heading2"/>
      </w:pPr>
      <w:r>
        <w:t xml:space="preserve">More about scaling</w:t>
      </w:r>
    </w:p>
    <w:p>
      <w:pPr>
        <w:numPr>
          <w:ilvl w:val="0"/>
          <w:numId w:val="1088"/>
        </w:numPr>
      </w:pPr>
      <w:r>
        <w:t xml:space="preserve">Specify 2PL IRT model in</w:t>
      </w:r>
      <w:r>
        <w:t xml:space="preserve"> </w:t>
      </w:r>
      <w:r>
        <w:t xml:space="preserve">“</w:t>
      </w:r>
      <w:r>
        <w:t xml:space="preserve">slope-intercept</w:t>
      </w:r>
      <w:r>
        <w:t xml:space="preserve">”</w:t>
      </w:r>
      <w:r>
        <w:t xml:space="preserve"> </w:t>
      </w:r>
      <w:r>
        <w:t xml:space="preserve">form</w:t>
      </w:r>
    </w:p>
    <w:p>
      <w:pPr>
        <w:numPr>
          <w:ilvl w:val="0"/>
          <w:numId w:val="1088"/>
        </w:numPr>
      </w:pPr>
      <w:r>
        <w:t xml:space="preserve">Group 1</w:t>
      </w:r>
    </w:p>
    <w:p>
      <w:pPr>
        <w:pStyle w:val="FirstParagraph"/>
      </w:pPr>
      <m:oMathPara>
        <m:oMathParaPr>
          <m:jc m:val="center"/>
        </m:oMathParaPr>
        <m:oMath>
          <m:r>
            <m:rPr>
              <m:nor/>
              <m:sty m:val="p"/>
            </m:rPr>
            <m:t>logit</m:t>
          </m:r>
          <m:d>
            <m:dPr>
              <m:begChr m:val="("/>
              <m:endChr m:val=")"/>
              <m:sepChr m:val=""/>
              <m:grow/>
            </m:dPr>
            <m:e>
              <m:sSub>
                <m:e>
                  <m:r>
                    <m:t>p</m:t>
                  </m:r>
                </m:e>
                <m:sub>
                  <m:r>
                    <m:t>0</m:t>
                  </m:r>
                  <m:r>
                    <m:t>i</m:t>
                  </m:r>
                </m:sub>
              </m:sSub>
            </m:e>
          </m:d>
          <m:r>
            <m:rPr>
              <m:sty m:val="p"/>
            </m:rPr>
            <m:t>=</m:t>
          </m:r>
          <m:sSub>
            <m:e>
              <m:r>
                <m:t>a</m:t>
              </m:r>
            </m:e>
            <m:sub>
              <m:r>
                <m:t>0</m:t>
              </m:r>
              <m:r>
                <m:t>i</m:t>
              </m:r>
            </m:sub>
          </m:sSub>
          <m:sSub>
            <m:e>
              <m:r>
                <m:t>θ</m:t>
              </m:r>
            </m:e>
            <m:sub>
              <m:r>
                <m:t>0</m:t>
              </m:r>
            </m:sub>
          </m:sSub>
          <m:r>
            <m:rPr>
              <m:sty m:val="p"/>
            </m:rPr>
            <m:t>+</m:t>
          </m:r>
          <m:sSub>
            <m:e>
              <m:r>
                <m:t>d</m:t>
              </m:r>
            </m:e>
            <m:sub>
              <m:r>
                <m:t>0</m:t>
              </m:r>
              <m:r>
                <m:t>i</m:t>
              </m:r>
            </m:sub>
          </m:sSub>
          <m:r>
            <m:t> </m:t>
          </m:r>
          <m:r>
            <m:rPr>
              <m:nor/>
              <m:sty m:val="p"/>
            </m:rPr>
            <m:t> with </m:t>
          </m:r>
          <m:r>
            <m:t> </m:t>
          </m:r>
          <m:sSub>
            <m:e>
              <m:r>
                <m:t>θ</m:t>
              </m:r>
            </m:e>
            <m:sub>
              <m:r>
                <m:t>0</m:t>
              </m:r>
            </m:sub>
          </m:sSub>
          <m:r>
            <m:rPr>
              <m:sty m:val="p"/>
            </m:rPr>
            <m:t>∼</m:t>
          </m:r>
          <m:r>
            <m:t>N</m:t>
          </m:r>
          <m:d>
            <m:dPr>
              <m:begChr m:val="("/>
              <m:endChr m:val=")"/>
              <m:sepChr m:val=""/>
              <m:grow/>
            </m:dPr>
            <m:e>
              <m:r>
                <m:t>0</m:t>
              </m:r>
              <m:r>
                <m:rPr>
                  <m:sty m:val="p"/>
                </m:rPr>
                <m:t>,</m:t>
              </m:r>
              <m:r>
                <m:t>1</m:t>
              </m:r>
            </m:e>
          </m:d>
        </m:oMath>
      </m:oMathPara>
    </w:p>
    <w:p>
      <w:pPr>
        <w:numPr>
          <w:ilvl w:val="0"/>
          <w:numId w:val="1089"/>
        </w:numPr>
        <w:pStyle w:val="Compact"/>
      </w:pPr>
      <w:r>
        <w:t xml:space="preserve">Group 2</w:t>
      </w:r>
    </w:p>
    <w:p>
      <w:pPr>
        <w:pStyle w:val="FirstParagraph"/>
      </w:pPr>
      <m:oMathPara>
        <m:oMathParaPr>
          <m:jc m:val="center"/>
        </m:oMathParaPr>
        <m:oMath>
          <m:r>
            <m:rPr>
              <m:nor/>
              <m:sty m:val="p"/>
            </m:rPr>
            <m:t>logit</m:t>
          </m:r>
          <m:d>
            <m:dPr>
              <m:begChr m:val="("/>
              <m:endChr m:val=")"/>
              <m:sepChr m:val=""/>
              <m:grow/>
            </m:dPr>
            <m:e>
              <m:sSub>
                <m:e>
                  <m:r>
                    <m:t>p</m:t>
                  </m:r>
                </m:e>
                <m:sub>
                  <m:r>
                    <m:t>1</m:t>
                  </m:r>
                  <m:r>
                    <m:t>i</m:t>
                  </m:r>
                </m:sub>
              </m:sSub>
            </m:e>
          </m:d>
          <m:r>
            <m:rPr>
              <m:sty m:val="p"/>
            </m:rPr>
            <m:t>=</m:t>
          </m:r>
          <m:sSub>
            <m:e>
              <m:r>
                <m:t>a</m:t>
              </m:r>
            </m:e>
            <m:sub>
              <m:r>
                <m:t>1</m:t>
              </m:r>
              <m:r>
                <m:t>i</m:t>
              </m:r>
            </m:sub>
          </m:sSub>
          <m:sSub>
            <m:e>
              <m:r>
                <m:t>θ</m:t>
              </m:r>
            </m:e>
            <m:sub>
              <m:r>
                <m:t>1</m:t>
              </m:r>
            </m:sub>
          </m:sSub>
          <m:r>
            <m:rPr>
              <m:sty m:val="p"/>
            </m:rPr>
            <m:t>+</m:t>
          </m:r>
          <m:sSub>
            <m:e>
              <m:r>
                <m:t>d</m:t>
              </m:r>
            </m:e>
            <m:sub>
              <m:r>
                <m:t>1</m:t>
              </m:r>
              <m:r>
                <m:t>i</m:t>
              </m:r>
            </m:sub>
          </m:sSub>
          <m:r>
            <m:t> </m:t>
          </m:r>
          <m:r>
            <m:rPr>
              <m:nor/>
              <m:sty m:val="p"/>
            </m:rPr>
            <m:t> with </m:t>
          </m:r>
          <m:r>
            <m:t> </m:t>
          </m:r>
          <m:sSub>
            <m:e>
              <m:r>
                <m:t>θ</m:t>
              </m:r>
            </m:e>
            <m:sub>
              <m:r>
                <m:t>1</m:t>
              </m:r>
            </m:sub>
          </m:sSub>
          <m:r>
            <m:rPr>
              <m:sty m:val="p"/>
            </m:rPr>
            <m:t>=</m:t>
          </m:r>
          <m:d>
            <m:dPr>
              <m:begChr m:val="("/>
              <m:endChr m:val=")"/>
              <m:sepChr m:val=""/>
              <m:grow/>
            </m:dPr>
            <m:e>
              <m:sSubSup>
                <m:e>
                  <m:r>
                    <m:t>θ</m:t>
                  </m:r>
                </m:e>
                <m:sub>
                  <m:r>
                    <m:t>1</m:t>
                  </m:r>
                </m:sub>
                <m:sup>
                  <m:r>
                    <m:rPr>
                      <m:sty m:val="p"/>
                    </m:rPr>
                    <m:t>*</m:t>
                  </m:r>
                </m:sup>
              </m:sSubSup>
              <m:r>
                <m:rPr>
                  <m:sty m:val="p"/>
                </m:rPr>
                <m:t>−</m:t>
              </m:r>
              <m:r>
                <m:t>μ</m:t>
              </m:r>
            </m:e>
          </m:d>
          <m:r>
            <m:rPr>
              <m:sty m:val="p"/>
            </m:rPr>
            <m:t>/</m:t>
          </m:r>
          <m:r>
            <m:t>σ</m:t>
          </m:r>
          <m:r>
            <m:t> </m:t>
          </m:r>
          <m:r>
            <m:rPr>
              <m:nor/>
              <m:sty m:val="p"/>
            </m:rPr>
            <m:t> and </m:t>
          </m:r>
          <m:r>
            <m:t> </m:t>
          </m:r>
          <m:sSubSup>
            <m:e>
              <m:r>
                <m:t>θ</m:t>
              </m:r>
            </m:e>
            <m:sub>
              <m:r>
                <m:t>1</m:t>
              </m:r>
            </m:sub>
            <m:sup>
              <m:r>
                <m:rPr>
                  <m:sty m:val="p"/>
                </m:rPr>
                <m:t>*</m:t>
              </m:r>
            </m:sup>
          </m:sSubSup>
          <m:r>
            <m:rPr>
              <m:sty m:val="p"/>
            </m:rPr>
            <m:t>∼</m:t>
          </m:r>
          <m:r>
            <m:t>N</m:t>
          </m:r>
          <m:d>
            <m:dPr>
              <m:begChr m:val="("/>
              <m:endChr m:val=")"/>
              <m:sepChr m:val=""/>
              <m:grow/>
            </m:dPr>
            <m:e>
              <m:r>
                <m:t>μ</m:t>
              </m:r>
              <m:r>
                <m:rPr>
                  <m:sty m:val="p"/>
                </m:rPr>
                <m:t>,</m:t>
              </m:r>
              <m:sSup>
                <m:e>
                  <m:r>
                    <m:t>σ</m:t>
                  </m:r>
                </m:e>
                <m:sup>
                  <m:r>
                    <m:t>2</m:t>
                  </m:r>
                </m:sup>
              </m:sSup>
            </m:e>
          </m:d>
        </m:oMath>
      </m:oMathPara>
    </w:p>
    <w:p>
      <w:pPr>
        <w:numPr>
          <w:ilvl w:val="0"/>
          <w:numId w:val="1090"/>
        </w:numPr>
        <w:pStyle w:val="Compact"/>
      </w:pPr>
      <w:r>
        <w:t xml:space="preserve">Scaling involves solving for</w:t>
      </w:r>
      <w:r>
        <w:t xml:space="preserve"> </w:t>
      </w:r>
      <m:oMath>
        <m:r>
          <m:t>μ</m:t>
        </m:r>
      </m:oMath>
      <w:r>
        <w:t xml:space="preserve"> </w:t>
      </w:r>
      <w:r>
        <w:t xml:space="preserve">and</w:t>
      </w:r>
      <w:r>
        <w:t xml:space="preserve"> </w:t>
      </w:r>
      <m:oMath>
        <m:r>
          <m:t>σ</m:t>
        </m:r>
      </m:oMath>
    </w:p>
    <w:p>
      <w:pPr>
        <w:pStyle w:val="FirstParagraph"/>
      </w:pPr>
      <m:oMathPara>
        <m:oMathParaPr>
          <m:jc m:val="center"/>
        </m:oMathParaPr>
        <m:oMath>
          <m:sSub>
            <m:e>
              <m:r>
                <m:t>a</m:t>
              </m:r>
            </m:e>
            <m:sub>
              <m:r>
                <m:t>1</m:t>
              </m:r>
              <m:r>
                <m:t>i</m:t>
              </m:r>
            </m:sub>
          </m:sSub>
          <m:sSub>
            <m:e>
              <m:r>
                <m:t>θ</m:t>
              </m:r>
            </m:e>
            <m:sub>
              <m:r>
                <m:t>1</m:t>
              </m:r>
            </m:sub>
          </m:sSub>
          <m:r>
            <m:rPr>
              <m:sty m:val="p"/>
            </m:rPr>
            <m:t>+</m:t>
          </m:r>
          <m:sSub>
            <m:e>
              <m:r>
                <m:t>d</m:t>
              </m:r>
            </m:e>
            <m:sub>
              <m:r>
                <m:t>1</m:t>
              </m:r>
              <m:r>
                <m:t>i</m:t>
              </m:r>
            </m:sub>
          </m:sSub>
          <m:r>
            <m:rPr>
              <m:sty m:val="p"/>
            </m:rPr>
            <m:t>=</m:t>
          </m:r>
          <m:sSubSup>
            <m:e>
              <m:r>
                <m:t>a</m:t>
              </m:r>
            </m:e>
            <m:sub>
              <m:r>
                <m:t>1</m:t>
              </m:r>
              <m:r>
                <m:t>i</m:t>
              </m:r>
            </m:sub>
            <m:sup>
              <m:r>
                <m:rPr>
                  <m:sty m:val="p"/>
                </m:rPr>
                <m:t>*</m:t>
              </m:r>
            </m:sup>
          </m:sSubSup>
          <m:sSubSup>
            <m:e>
              <m:r>
                <m:t>θ</m:t>
              </m:r>
            </m:e>
            <m:sub>
              <m:r>
                <m:t>1</m:t>
              </m:r>
            </m:sub>
            <m:sup>
              <m:r>
                <m:rPr>
                  <m:sty m:val="p"/>
                </m:rPr>
                <m:t>*</m:t>
              </m:r>
            </m:sup>
          </m:sSubSup>
          <m:r>
            <m:rPr>
              <m:sty m:val="p"/>
            </m:rPr>
            <m:t>+</m:t>
          </m:r>
          <m:sSubSup>
            <m:e>
              <m:r>
                <m:t>a</m:t>
              </m:r>
            </m:e>
            <m:sub>
              <m:r>
                <m:t>1</m:t>
              </m:r>
              <m:r>
                <m:t>i</m:t>
              </m:r>
            </m:sub>
            <m:sup>
              <m:r>
                <m:rPr>
                  <m:sty m:val="p"/>
                </m:rPr>
                <m:t>*</m:t>
              </m:r>
            </m:sup>
          </m:sSubSup>
        </m:oMath>
      </m:oMathPara>
    </w:p>
    <w:p>
      <w:pPr>
        <w:numPr>
          <w:ilvl w:val="0"/>
          <w:numId w:val="1091"/>
        </w:numPr>
        <w:pStyle w:val="Compact"/>
      </w:pPr>
      <w:r>
        <w:t xml:space="preserve">We know this relationship holds for some choice of</w:t>
      </w:r>
      <w:r>
        <w:t xml:space="preserve"> </w:t>
      </w:r>
      <m:oMath>
        <m:sSubSup>
          <m:e>
            <m:r>
              <m:t>a</m:t>
            </m:r>
          </m:e>
          <m:sub>
            <m:r>
              <m:t>1</m:t>
            </m:r>
            <m:r>
              <m:t>i</m:t>
            </m:r>
          </m:sub>
          <m:sup>
            <m:r>
              <m:rPr>
                <m:sty m:val="p"/>
              </m:rPr>
              <m:t>*</m:t>
            </m:r>
          </m:sup>
        </m:sSubSup>
      </m:oMath>
      <w:r>
        <w:t xml:space="preserve"> </w:t>
      </w:r>
      <w:r>
        <w:t xml:space="preserve">and</w:t>
      </w:r>
      <w:r>
        <w:t xml:space="preserve"> </w:t>
      </w:r>
      <m:oMath>
        <m:sSubSup>
          <m:e>
            <m:r>
              <m:t>d</m:t>
            </m:r>
          </m:e>
          <m:sub>
            <m:r>
              <m:t>1</m:t>
            </m:r>
            <m:r>
              <m:t>i</m:t>
            </m:r>
          </m:sub>
          <m:sup>
            <m:r>
              <m:rPr>
                <m:sty m:val="p"/>
              </m:rPr>
              <m:t>*</m:t>
            </m:r>
          </m:sup>
        </m:sSubSup>
      </m:oMath>
      <w:r>
        <w:t xml:space="preserve"> </w:t>
      </w:r>
      <w:r>
        <w:t xml:space="preserve">because IRT models are identified only up to a linear transformation of</w:t>
      </w:r>
      <w:r>
        <w:t xml:space="preserve"> </w:t>
      </w:r>
      <m:oMath>
        <m:r>
          <m:t>θ</m:t>
        </m:r>
      </m:oMath>
      <w:r>
        <w:t xml:space="preserve">.</w:t>
      </w:r>
    </w:p>
    <w:bookmarkEnd w:id="110"/>
    <w:bookmarkStart w:id="111" w:name="more-about-scaling-1"/>
    <w:p>
      <w:pPr>
        <w:pStyle w:val="Heading2"/>
      </w:pPr>
      <w:r>
        <w:t xml:space="preserve">More about scaling</w:t>
      </w:r>
    </w:p>
    <w:p>
      <w:pPr>
        <w:numPr>
          <w:ilvl w:val="0"/>
          <w:numId w:val="1092"/>
        </w:numPr>
        <w:pStyle w:val="Compact"/>
      </w:pPr>
      <w:r>
        <w:t xml:space="preserve">Substituting</w:t>
      </w:r>
      <w:r>
        <w:t xml:space="preserve"> </w:t>
      </w:r>
      <m:oMath>
        <m:sSub>
          <m:e>
            <m:r>
              <m:t>θ</m:t>
            </m:r>
          </m:e>
          <m:sub>
            <m:r>
              <m:t>1</m:t>
            </m:r>
          </m:sub>
        </m:sSub>
        <m:r>
          <m:rPr>
            <m:sty m:val="p"/>
          </m:rPr>
          <m:t>=</m:t>
        </m:r>
        <m:d>
          <m:dPr>
            <m:begChr m:val="("/>
            <m:endChr m:val=")"/>
            <m:sepChr m:val=""/>
            <m:grow/>
          </m:dPr>
          <m:e>
            <m:sSubSup>
              <m:e>
                <m:r>
                  <m:t>θ</m:t>
                </m:r>
              </m:e>
              <m:sub>
                <m:r>
                  <m:t>1</m:t>
                </m:r>
              </m:sub>
              <m:sup>
                <m:r>
                  <m:rPr>
                    <m:sty m:val="p"/>
                  </m:rPr>
                  <m:t>*</m:t>
                </m:r>
              </m:sup>
            </m:sSubSup>
            <m:r>
              <m:rPr>
                <m:sty m:val="p"/>
              </m:rPr>
              <m:t>−</m:t>
            </m:r>
            <m:r>
              <m:t>μ</m:t>
            </m:r>
          </m:e>
        </m:d>
        <m:r>
          <m:rPr>
            <m:sty m:val="p"/>
          </m:rPr>
          <m:t>/</m:t>
        </m:r>
        <m:r>
          <m:t>σ</m:t>
        </m:r>
      </m:oMath>
      <w:r>
        <w:t xml:space="preserve"> </w:t>
      </w:r>
      <w:r>
        <w:t xml:space="preserve">in the scaling equations and doing the algebra gives:</w:t>
      </w:r>
    </w:p>
    <w:p>
      <w:pPr>
        <w:numPr>
          <w:ilvl w:val="1"/>
          <w:numId w:val="1093"/>
        </w:numPr>
        <w:pStyle w:val="Compact"/>
      </w:pPr>
      <m:oMath>
        <m:r>
          <m:t>σ</m:t>
        </m:r>
        <m:r>
          <m:rPr>
            <m:sty m:val="p"/>
          </m:rPr>
          <m:t>=</m:t>
        </m:r>
        <m:sSub>
          <m:e>
            <m:r>
              <m:t>a</m:t>
            </m:r>
          </m:e>
          <m:sub>
            <m:r>
              <m:t>1</m:t>
            </m:r>
            <m:r>
              <m:t>i</m:t>
            </m:r>
          </m:sub>
        </m:sSub>
        <m:r>
          <m:rPr>
            <m:sty m:val="p"/>
          </m:rPr>
          <m:t>/</m:t>
        </m:r>
        <m:sSubSup>
          <m:e>
            <m:r>
              <m:t>a</m:t>
            </m:r>
          </m:e>
          <m:sub>
            <m:r>
              <m:t>1</m:t>
            </m:r>
            <m:r>
              <m:t>i</m:t>
            </m:r>
          </m:sub>
          <m:sup>
            <m:r>
              <m:rPr>
                <m:sty m:val="p"/>
              </m:rPr>
              <m:t>*</m:t>
            </m:r>
          </m:sup>
        </m:sSubSup>
      </m:oMath>
    </w:p>
    <w:p>
      <w:pPr>
        <w:numPr>
          <w:ilvl w:val="1"/>
          <w:numId w:val="1093"/>
        </w:numPr>
        <w:pStyle w:val="Compact"/>
      </w:pPr>
      <m:oMath>
        <m:r>
          <m:t>μ</m:t>
        </m:r>
        <m:r>
          <m:rPr>
            <m:sty m:val="p"/>
          </m:rPr>
          <m:t>=</m:t>
        </m:r>
        <m:r>
          <m:t>σ</m:t>
        </m:r>
        <m:f>
          <m:fPr>
            <m:type m:val="bar"/>
          </m:fPr>
          <m:num>
            <m:sSub>
              <m:e>
                <m:r>
                  <m:t>d</m:t>
                </m:r>
              </m:e>
              <m:sub>
                <m:r>
                  <m:t>1</m:t>
                </m:r>
                <m:r>
                  <m:t>i</m:t>
                </m:r>
              </m:sub>
            </m:sSub>
            <m:r>
              <m:rPr>
                <m:sty m:val="p"/>
              </m:rPr>
              <m:t>−</m:t>
            </m:r>
            <m:sSubSup>
              <m:e>
                <m:r>
                  <m:t>d</m:t>
                </m:r>
              </m:e>
              <m:sub>
                <m:r>
                  <m:t>1</m:t>
                </m:r>
                <m:r>
                  <m:t>i</m:t>
                </m:r>
              </m:sub>
              <m:sup>
                <m:r>
                  <m:rPr>
                    <m:sty m:val="p"/>
                  </m:rPr>
                  <m:t>*</m:t>
                </m:r>
              </m:sup>
            </m:sSubSup>
          </m:num>
          <m:den>
            <m:sSub>
              <m:e>
                <m:r>
                  <m:t>a</m:t>
                </m:r>
              </m:e>
              <m:sub>
                <m:r>
                  <m:t>1</m:t>
                </m:r>
                <m:r>
                  <m:t>i</m:t>
                </m:r>
              </m:sub>
            </m:sSub>
          </m:den>
        </m:f>
      </m:oMath>
    </w:p>
    <w:p>
      <w:pPr>
        <w:numPr>
          <w:ilvl w:val="0"/>
          <w:numId w:val="1092"/>
        </w:numPr>
        <w:pStyle w:val="Compact"/>
      </w:pPr>
      <w:r>
        <w:t xml:space="preserve">Taking the mean over items, gives the usual</w:t>
      </w:r>
      <w:r>
        <w:t xml:space="preserve"> </w:t>
      </w:r>
      <w:r>
        <w:t xml:space="preserve">“</w:t>
      </w:r>
      <w:r>
        <w:t xml:space="preserve">naive</w:t>
      </w:r>
      <w:r>
        <w:t xml:space="preserve">”</w:t>
      </w:r>
      <w:r>
        <w:t xml:space="preserve"> </w:t>
      </w:r>
      <w:r>
        <w:t xml:space="preserve">scaling (in slope-intercept form)</w:t>
      </w:r>
    </w:p>
    <w:p>
      <w:pPr>
        <w:numPr>
          <w:ilvl w:val="1"/>
          <w:numId w:val="1094"/>
        </w:numPr>
        <w:pStyle w:val="Compact"/>
      </w:pPr>
      <m:oMath>
        <m:r>
          <m:t>σ</m:t>
        </m:r>
        <m:r>
          <m:rPr>
            <m:sty m:val="p"/>
          </m:rPr>
          <m:t>=</m:t>
        </m:r>
        <m:r>
          <m:rPr>
            <m:nor/>
            <m:sty m:val="p"/>
          </m:rPr>
          <m:t>mean</m:t>
        </m:r>
        <m:d>
          <m:dPr>
            <m:begChr m:val="("/>
            <m:endChr m:val=")"/>
            <m:sepChr m:val=""/>
            <m:grow/>
          </m:dPr>
          <m:e>
            <m:sSub>
              <m:e>
                <m:r>
                  <m:t>a</m:t>
                </m:r>
              </m:e>
              <m:sub>
                <m:r>
                  <m:t>1</m:t>
                </m:r>
                <m:r>
                  <m:t>i</m:t>
                </m:r>
              </m:sub>
            </m:sSub>
            <m:r>
              <m:rPr>
                <m:sty m:val="p"/>
              </m:rPr>
              <m:t>/</m:t>
            </m:r>
            <m:sSubSup>
              <m:e>
                <m:r>
                  <m:t>a</m:t>
                </m:r>
              </m:e>
              <m:sub>
                <m:r>
                  <m:t>1</m:t>
                </m:r>
                <m:r>
                  <m:t>i</m:t>
                </m:r>
              </m:sub>
              <m:sup>
                <m:r>
                  <m:rPr>
                    <m:sty m:val="p"/>
                  </m:rPr>
                  <m:t>*</m:t>
                </m:r>
              </m:sup>
            </m:sSubSup>
          </m:e>
        </m:d>
      </m:oMath>
    </w:p>
    <w:p>
      <w:pPr>
        <w:numPr>
          <w:ilvl w:val="1"/>
          <w:numId w:val="1094"/>
        </w:numPr>
        <w:pStyle w:val="Compact"/>
      </w:pPr>
      <m:oMath>
        <m:r>
          <m:t>μ</m:t>
        </m:r>
        <m:r>
          <m:rPr>
            <m:sty m:val="p"/>
          </m:rPr>
          <m:t>=</m:t>
        </m:r>
        <m:r>
          <m:t>σ</m:t>
        </m:r>
        <m:r>
          <m:t> </m:t>
        </m:r>
        <m:r>
          <m:rPr>
            <m:nor/>
            <m:sty m:val="p"/>
          </m:rPr>
          <m:t>mean</m:t>
        </m:r>
        <m:d>
          <m:dPr>
            <m:begChr m:val="("/>
            <m:endChr m:val=")"/>
            <m:sepChr m:val=""/>
            <m:grow/>
          </m:dPr>
          <m:e>
            <m:f>
              <m:fPr>
                <m:type m:val="bar"/>
              </m:fPr>
              <m:num>
                <m:sSub>
                  <m:e>
                    <m:r>
                      <m:t>d</m:t>
                    </m:r>
                  </m:e>
                  <m:sub>
                    <m:r>
                      <m:t>1</m:t>
                    </m:r>
                    <m:r>
                      <m:t>i</m:t>
                    </m:r>
                  </m:sub>
                </m:sSub>
                <m:r>
                  <m:rPr>
                    <m:sty m:val="p"/>
                  </m:rPr>
                  <m:t>−</m:t>
                </m:r>
                <m:sSubSup>
                  <m:e>
                    <m:r>
                      <m:t>d</m:t>
                    </m:r>
                  </m:e>
                  <m:sub>
                    <m:r>
                      <m:t>1</m:t>
                    </m:r>
                    <m:r>
                      <m:t>i</m:t>
                    </m:r>
                  </m:sub>
                  <m:sup>
                    <m:r>
                      <m:rPr>
                        <m:sty m:val="p"/>
                      </m:rPr>
                      <m:t>*</m:t>
                    </m:r>
                  </m:sup>
                </m:sSubSup>
              </m:num>
              <m:den>
                <m:sSub>
                  <m:e>
                    <m:r>
                      <m:t>a</m:t>
                    </m:r>
                  </m:e>
                  <m:sub>
                    <m:r>
                      <m:t>1</m:t>
                    </m:r>
                    <m:r>
                      <m:t>i</m:t>
                    </m:r>
                  </m:sub>
                </m:sSub>
              </m:den>
            </m:f>
          </m:e>
        </m:d>
      </m:oMath>
    </w:p>
    <w:p>
      <w:pPr>
        <w:numPr>
          <w:ilvl w:val="0"/>
          <w:numId w:val="1092"/>
        </w:numPr>
        <w:pStyle w:val="Compact"/>
      </w:pPr>
      <w:r>
        <w:t xml:space="preserve">In the CINEG design, we let the item parameters in the reference group stand-in for the</w:t>
      </w:r>
      <w:r>
        <w:t xml:space="preserve"> </w:t>
      </w:r>
      <w:r>
        <w:t xml:space="preserve">“</w:t>
      </w:r>
      <w:r>
        <w:t xml:space="preserve">unscaled</w:t>
      </w:r>
      <w:r>
        <w:t xml:space="preserve">”</w:t>
      </w:r>
      <w:r>
        <w:t xml:space="preserve"> </w:t>
      </w:r>
      <w:r>
        <w:t xml:space="preserve">item parameters</w:t>
      </w:r>
    </w:p>
    <w:p>
      <w:pPr>
        <w:numPr>
          <w:ilvl w:val="1"/>
          <w:numId w:val="1095"/>
        </w:numPr>
        <w:pStyle w:val="Compact"/>
      </w:pPr>
      <m:oMath>
        <m:sSubSup>
          <m:e>
            <m:r>
              <m:t>d</m:t>
            </m:r>
          </m:e>
          <m:sub>
            <m:r>
              <m:t>1</m:t>
            </m:r>
            <m:r>
              <m:t>i</m:t>
            </m:r>
          </m:sub>
          <m:sup>
            <m:r>
              <m:rPr>
                <m:sty m:val="p"/>
              </m:rPr>
              <m:t>*</m:t>
            </m:r>
          </m:sup>
        </m:sSubSup>
        <m:r>
          <m:rPr>
            <m:sty m:val="p"/>
          </m:rPr>
          <m:t>=</m:t>
        </m:r>
        <m:sSub>
          <m:e>
            <m:r>
              <m:t>d</m:t>
            </m:r>
          </m:e>
          <m:sub>
            <m:r>
              <m:t>0</m:t>
            </m:r>
            <m:r>
              <m:t>i</m:t>
            </m:r>
          </m:sub>
        </m:sSub>
      </m:oMath>
    </w:p>
    <w:p>
      <w:pPr>
        <w:numPr>
          <w:ilvl w:val="1"/>
          <w:numId w:val="1095"/>
        </w:numPr>
        <w:pStyle w:val="Compact"/>
      </w:pPr>
      <m:oMath>
        <m:sSubSup>
          <m:e>
            <m:r>
              <m:t>a</m:t>
            </m:r>
          </m:e>
          <m:sub>
            <m:r>
              <m:t>1</m:t>
            </m:r>
            <m:r>
              <m:t>i</m:t>
            </m:r>
          </m:sub>
          <m:sup>
            <m:r>
              <m:rPr>
                <m:sty m:val="p"/>
              </m:rPr>
              <m:t>*</m:t>
            </m:r>
          </m:sup>
        </m:sSubSup>
        <m:r>
          <m:rPr>
            <m:sty m:val="p"/>
          </m:rPr>
          <m:t>=</m:t>
        </m:r>
        <m:sSub>
          <m:e>
            <m:r>
              <m:t>a</m:t>
            </m:r>
          </m:e>
          <m:sub>
            <m:r>
              <m:t>0</m:t>
            </m:r>
            <m:r>
              <m:t>i</m:t>
            </m:r>
          </m:sub>
        </m:sSub>
      </m:oMath>
    </w:p>
    <w:bookmarkEnd w:id="111"/>
    <w:bookmarkStart w:id="112" w:name="example-with-lavaan"/>
    <w:p>
      <w:pPr>
        <w:pStyle w:val="Heading2"/>
      </w:pPr>
      <w:r>
        <w:t xml:space="preserve">Example with lavaan</w:t>
      </w:r>
    </w:p>
    <w:p>
      <w:pPr>
        <w:pStyle w:val="SourceCode"/>
      </w:pPr>
      <w:r>
        <w:rPr>
          <w:rStyle w:val="FunctionTok"/>
        </w:rPr>
        <w:t xml:space="preserve">library</w:t>
      </w:r>
      <w:r>
        <w:rPr>
          <w:rStyle w:val="NormalTok"/>
        </w:rPr>
        <w:t xml:space="preserve">(lavaan)</w:t>
      </w:r>
      <w:r>
        <w:br/>
      </w:r>
      <w:r>
        <w:br/>
      </w:r>
      <w:r>
        <w:rPr>
          <w:rStyle w:val="CommentTok"/>
        </w:rPr>
        <w:t xml:space="preserve"># Model (same as above)</w:t>
      </w:r>
      <w:r>
        <w:br/>
      </w:r>
      <w:r>
        <w:rPr>
          <w:rStyle w:val="NormalTok"/>
        </w:rPr>
        <w:t xml:space="preserve">mod1 </w:t>
      </w:r>
      <w:r>
        <w:rPr>
          <w:rStyle w:val="OtherTok"/>
        </w:rPr>
        <w:t xml:space="preserve">&lt;-</w:t>
      </w:r>
      <w:r>
        <w:rPr>
          <w:rStyle w:val="NormalTok"/>
        </w:rPr>
        <w:t xml:space="preserve"> </w:t>
      </w:r>
      <w:r>
        <w:rPr>
          <w:rStyle w:val="StringTok"/>
        </w:rPr>
        <w:t xml:space="preserve">' depression =~ cint1 + cint2 + cint4 + cint11 + </w:t>
      </w:r>
      <w:r>
        <w:br/>
      </w:r>
      <w:r>
        <w:rPr>
          <w:rStyle w:val="StringTok"/>
        </w:rPr>
        <w:t xml:space="preserve">                        cint27 + cint28 + cint29 + cint30'</w:t>
      </w:r>
      <w:r>
        <w:br/>
      </w:r>
      <w:r>
        <w:rPr>
          <w:rStyle w:val="CommentTok"/>
        </w:rPr>
        <w:t xml:space="preserve"># Fit model</w:t>
      </w:r>
      <w:r>
        <w:br/>
      </w:r>
      <w:r>
        <w:rPr>
          <w:rStyle w:val="NormalTok"/>
        </w:rPr>
        <w:t xml:space="preserve">fit.config </w:t>
      </w:r>
      <w:r>
        <w:rPr>
          <w:rStyle w:val="OtherTok"/>
        </w:rPr>
        <w:t xml:space="preserve">&lt;-</w:t>
      </w:r>
      <w:r>
        <w:rPr>
          <w:rStyle w:val="NormalTok"/>
        </w:rPr>
        <w:t xml:space="preserve"> </w:t>
      </w:r>
      <w:r>
        <w:rPr>
          <w:rStyle w:val="FunctionTok"/>
        </w:rPr>
        <w:t xml:space="preserve">cfa</w:t>
      </w:r>
      <w:r>
        <w:rPr>
          <w:rStyle w:val="NormalTok"/>
        </w:rPr>
        <w:t xml:space="preserve">(mod1, </w:t>
      </w:r>
      <w:r>
        <w:br/>
      </w:r>
      <w:r>
        <w:rPr>
          <w:rStyle w:val="NormalTok"/>
        </w:rPr>
        <w:t xml:space="preserve">                  </w:t>
      </w:r>
      <w:r>
        <w:rPr>
          <w:rStyle w:val="AttributeTok"/>
        </w:rPr>
        <w:t xml:space="preserve">data =</w:t>
      </w:r>
      <w:r>
        <w:rPr>
          <w:rStyle w:val="NormalTok"/>
        </w:rPr>
        <w:t xml:space="preserve"> cint, </w:t>
      </w:r>
      <w:r>
        <w:br/>
      </w:r>
      <w:r>
        <w:rPr>
          <w:rStyle w:val="NormalTok"/>
        </w:rPr>
        <w:t xml:space="preserve">                  </w:t>
      </w:r>
      <w:r>
        <w:rPr>
          <w:rStyle w:val="AttributeTok"/>
        </w:rPr>
        <w:t xml:space="preserve">std.lv =</w:t>
      </w:r>
      <w:r>
        <w:rPr>
          <w:rStyle w:val="NormalTok"/>
        </w:rPr>
        <w:t xml:space="preserve"> T,  </w:t>
      </w:r>
      <w:r>
        <w:br/>
      </w:r>
      <w:r>
        <w:rPr>
          <w:rStyle w:val="NormalTok"/>
        </w:rPr>
        <w:t xml:space="preserve">                  </w:t>
      </w:r>
      <w:r>
        <w:rPr>
          <w:rStyle w:val="AttributeTok"/>
        </w:rPr>
        <w:t xml:space="preserve">ordered =</w:t>
      </w:r>
      <w:r>
        <w:rPr>
          <w:rStyle w:val="NormalTok"/>
        </w:rPr>
        <w:t xml:space="preserve"> T, </w:t>
      </w:r>
      <w:r>
        <w:br/>
      </w:r>
      <w:r>
        <w:rPr>
          <w:rStyle w:val="NormalTok"/>
        </w:rPr>
        <w:t xml:space="preserve">                  </w:t>
      </w:r>
      <w:r>
        <w:rPr>
          <w:rStyle w:val="AttributeTok"/>
        </w:rPr>
        <w:t xml:space="preserve">group =</w:t>
      </w:r>
      <w:r>
        <w:rPr>
          <w:rStyle w:val="NormalTok"/>
        </w:rPr>
        <w:t xml:space="preserve"> </w:t>
      </w:r>
      <w:r>
        <w:rPr>
          <w:rStyle w:val="StringTok"/>
        </w:rPr>
        <w:t xml:space="preserve">"cfemale"</w:t>
      </w:r>
      <w:r>
        <w:rPr>
          <w:rStyle w:val="NormalTok"/>
        </w:rPr>
        <w:t xml:space="preserve">) </w:t>
      </w:r>
      <w:r>
        <w:rPr>
          <w:rStyle w:val="CommentTok"/>
        </w:rPr>
        <w:t xml:space="preserve"># &lt;--- new </w:t>
      </w:r>
      <w:r>
        <w:br/>
      </w:r>
      <w:r>
        <w:rPr>
          <w:rStyle w:val="NormalTok"/>
        </w:rPr>
        <w:t xml:space="preserve">                  </w:t>
      </w:r>
      <w:r>
        <w:br/>
      </w:r>
      <w:r>
        <w:rPr>
          <w:rStyle w:val="CommentTok"/>
        </w:rPr>
        <w:t xml:space="preserve"># extract parms</w:t>
      </w:r>
      <w:r>
        <w:br/>
      </w:r>
      <w:r>
        <w:rPr>
          <w:rStyle w:val="NormalTok"/>
        </w:rPr>
        <w:t xml:space="preserve">lavaan.parms </w:t>
      </w:r>
      <w:r>
        <w:rPr>
          <w:rStyle w:val="OtherTok"/>
        </w:rPr>
        <w:t xml:space="preserve">&lt;-</w:t>
      </w:r>
      <w:r>
        <w:rPr>
          <w:rStyle w:val="NormalTok"/>
        </w:rPr>
        <w:t xml:space="preserve"> </w:t>
      </w:r>
      <w:r>
        <w:rPr>
          <w:rStyle w:val="FunctionTok"/>
        </w:rPr>
        <w:t xml:space="preserve">get_model_parms</w:t>
      </w:r>
      <w:r>
        <w:rPr>
          <w:rStyle w:val="NormalTok"/>
        </w:rPr>
        <w:t xml:space="preserve">(fit.config)</w:t>
      </w:r>
      <w:r>
        <w:br/>
      </w:r>
      <w:r>
        <w:br/>
      </w:r>
      <w:r>
        <w:rPr>
          <w:rStyle w:val="CommentTok"/>
        </w:rPr>
        <w:t xml:space="preserve"># RDIF procedures (groups are reversed)</w:t>
      </w:r>
      <w:r>
        <w:br/>
      </w:r>
      <w:r>
        <w:rPr>
          <w:rStyle w:val="FunctionTok"/>
        </w:rPr>
        <w:t xml:space="preserve">delta_test</w:t>
      </w:r>
      <w:r>
        <w:rPr>
          <w:rStyle w:val="NormalTok"/>
        </w:rPr>
        <w:t xml:space="preserve">(lavaan.parms)</w:t>
      </w:r>
      <w:r>
        <w:br/>
      </w:r>
      <w:r>
        <w:rPr>
          <w:rStyle w:val="FunctionTok"/>
        </w:rPr>
        <w:t xml:space="preserve">rdif_z_test</w:t>
      </w:r>
      <w:r>
        <w:rPr>
          <w:rStyle w:val="NormalTok"/>
        </w:rPr>
        <w:t xml:space="preserve">(lavaan.parms, </w:t>
      </w:r>
      <w:r>
        <w:rPr>
          <w:rStyle w:val="AttributeTok"/>
        </w:rPr>
        <w:t xml:space="preserve">par =</w:t>
      </w:r>
      <w:r>
        <w:rPr>
          <w:rStyle w:val="NormalTok"/>
        </w:rPr>
        <w:t xml:space="preserve"> </w:t>
      </w:r>
      <w:r>
        <w:rPr>
          <w:rStyle w:val="StringTok"/>
        </w:rPr>
        <w:t xml:space="preserve">"intercept"</w:t>
      </w:r>
      <w:r>
        <w:rPr>
          <w:rStyle w:val="NormalTok"/>
        </w:rPr>
        <w:t xml:space="preserve">)</w:t>
      </w:r>
      <w:r>
        <w:br/>
      </w:r>
      <w:r>
        <w:rPr>
          <w:rStyle w:val="FunctionTok"/>
        </w:rPr>
        <w:t xml:space="preserve">rdif_z_test</w:t>
      </w:r>
      <w:r>
        <w:rPr>
          <w:rStyle w:val="NormalTok"/>
        </w:rPr>
        <w:t xml:space="preserve">(lavaan.parms, </w:t>
      </w:r>
      <w:r>
        <w:rPr>
          <w:rStyle w:val="AttributeTok"/>
        </w:rPr>
        <w:t xml:space="preserve">par =</w:t>
      </w:r>
      <w:r>
        <w:rPr>
          <w:rStyle w:val="NormalTok"/>
        </w:rPr>
        <w:t xml:space="preserve"> </w:t>
      </w:r>
      <w:r>
        <w:rPr>
          <w:rStyle w:val="StringTok"/>
        </w:rPr>
        <w:t xml:space="preserve">"slope"</w:t>
      </w:r>
      <w:r>
        <w:rPr>
          <w:rStyle w:val="NormalTok"/>
        </w:rPr>
        <w:t xml:space="preserve">)</w:t>
      </w:r>
      <w:r>
        <w:br/>
      </w:r>
      <w:r>
        <w:rPr>
          <w:rStyle w:val="FunctionTok"/>
        </w:rPr>
        <w:t xml:space="preserve">rdif_chisq_test</w:t>
      </w:r>
      <w:r>
        <w:rPr>
          <w:rStyle w:val="NormalTok"/>
        </w:rPr>
        <w:t xml:space="preserve">(lavaan.parms)</w:t>
      </w:r>
    </w:p>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68" Target="media/rId68.jpg" /><Relationship Type="http://schemas.openxmlformats.org/officeDocument/2006/relationships/image" Id="rId72" Target="media/rId72.jpg" /><Relationship Type="http://schemas.openxmlformats.org/officeDocument/2006/relationships/image" Id="rId57" Target="media/rId57.png" /><Relationship Type="http://schemas.openxmlformats.org/officeDocument/2006/relationships/image" Id="rId64" Target="media/rId64.jpg" /><Relationship Type="http://schemas.openxmlformats.org/officeDocument/2006/relationships/image" Id="rId50" Target="media/rId50.jpg" /><Relationship Type="http://schemas.openxmlformats.org/officeDocument/2006/relationships/hyperlink" Id="rId22" Target="https://peterhalpin.github.io/RDIF-workshop/" TargetMode="External" /></Relationships>
</file>

<file path=word/_rels/footnotes.xml.rels><?xml version="1.0" encoding="UTF-8"?><Relationships xmlns="http://schemas.openxmlformats.org/package/2006/relationships"><Relationship Type="http://schemas.openxmlformats.org/officeDocument/2006/relationships/hyperlink" Id="rId22" Target="https://peterhalpin.github.io/RDIF-worksho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3: DIF via Robust Scaling</dc:title>
  <dc:creator>Peter F. Halpin</dc:creator>
  <cp:keywords/>
  <dcterms:created xsi:type="dcterms:W3CDTF">2023-12-04T20:17:04Z</dcterms:created>
  <dcterms:modified xsi:type="dcterms:W3CDTF">2023-12-04T20:17:04Z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