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96B4"/>
          <w:sz w:val="44"/>
        </w:rPr>
        <w:t>THELOOK – Business Recommendations</w:t>
      </w:r>
    </w:p>
    <w:p>
      <w:pPr>
        <w:jc w:val="center"/>
      </w:pPr>
      <w:r>
        <w:rPr>
          <w:i/>
          <w:color w:val="506478"/>
          <w:sz w:val="22"/>
        </w:rPr>
        <w:t>Recommendations based on the Excel dashboard</w:t>
      </w:r>
    </w:p>
    <w:p>
      <w:r>
        <w:t>Purpose: Translate the dashboard metrics into practical actions that can improve sales performance, product availability, customer engagement, and operational efficiency. These recommendations are based on the figures visible in the dashboard and should be validated against the underlying dataset before implementation.</w:t>
      </w:r>
    </w:p>
    <w:p>
      <w:pPr>
        <w:pStyle w:val="Heading1"/>
      </w:pPr>
      <w:r>
        <w:rPr>
          <w:rFonts w:ascii="Arial" w:hAnsi="Arial"/>
          <w:color w:val="00698C"/>
          <w:sz w:val="30"/>
        </w:rPr>
        <w:t>1. Sales Performance</w:t>
      </w:r>
    </w:p>
    <w:p>
      <w:pPr>
        <w:pStyle w:val="ListBullet"/>
        <w:jc w:val="left"/>
      </w:pPr>
      <w:r>
        <w:t>Investigate the sharp decline in the sales trend shown for 2024. Confirm whether the year contains complete data or represents a partial year before comparing it with previous years.</w:t>
      </w:r>
    </w:p>
    <w:p>
      <w:pPr>
        <w:pStyle w:val="ListBullet"/>
        <w:jc w:val="left"/>
      </w:pPr>
      <w:r>
        <w:t>Review monthly and quarterly sales to identify seasonality, peak periods, and periods of declining performance.</w:t>
      </w:r>
    </w:p>
    <w:p>
      <w:pPr>
        <w:pStyle w:val="ListBullet"/>
        <w:jc w:val="left"/>
      </w:pPr>
      <w:r>
        <w:t>Analyze the products contributing most to sales and use the findings to guide promotions, merchandising, and inventory planning.</w:t>
      </w:r>
    </w:p>
    <w:p>
      <w:pPr>
        <w:pStyle w:val="ListBullet"/>
        <w:jc w:val="left"/>
      </w:pPr>
      <w:r>
        <w:t>Track Total Sales, Total Orders, Average Order Value (AOV), and Items Sold together to understand whether performance changes come from order volume, basket value, or units sold.</w:t>
      </w:r>
    </w:p>
    <w:p>
      <w:pPr>
        <w:pStyle w:val="Heading1"/>
      </w:pPr>
      <w:r>
        <w:rPr>
          <w:rFonts w:ascii="Arial" w:hAnsi="Arial"/>
          <w:color w:val="00698C"/>
          <w:sz w:val="30"/>
        </w:rPr>
        <w:t>2. Product and Category Strategy</w:t>
      </w:r>
    </w:p>
    <w:p>
      <w:pPr>
        <w:pStyle w:val="ListBullet"/>
        <w:jc w:val="left"/>
      </w:pPr>
      <w:r>
        <w:t>Prioritize high-revenue categories such as Outerwear &amp; Coats and Jeans, while checking their profit margins before increasing investment.</w:t>
      </w:r>
    </w:p>
    <w:p>
      <w:pPr>
        <w:pStyle w:val="ListBullet"/>
        <w:jc w:val="left"/>
      </w:pPr>
      <w:r>
        <w:t>Review lower-performing categories to determine whether pricing, product assortment, visibility, or demand is limiting sales.</w:t>
      </w:r>
    </w:p>
    <w:p>
      <w:pPr>
        <w:pStyle w:val="ListBullet"/>
        <w:jc w:val="left"/>
      </w:pPr>
      <w:r>
        <w:t>Compare average selling prices with units sold and revenue by category. Avoid making pricing decisions based on average price alone.</w:t>
      </w:r>
    </w:p>
    <w:p>
      <w:pPr>
        <w:pStyle w:val="ListBullet"/>
        <w:jc w:val="left"/>
      </w:pPr>
      <w:r>
        <w:t>Use a product-level performance review to identify bestsellers, slow-moving items, and products that may need targeted promotions.</w:t>
      </w:r>
    </w:p>
    <w:p>
      <w:pPr>
        <w:pStyle w:val="Heading1"/>
      </w:pPr>
      <w:r>
        <w:rPr>
          <w:rFonts w:ascii="Arial" w:hAnsi="Arial"/>
          <w:color w:val="00698C"/>
          <w:sz w:val="30"/>
        </w:rPr>
        <w:t>3. Inventory and Availability</w:t>
      </w:r>
    </w:p>
    <w:p>
      <w:pPr>
        <w:pStyle w:val="ListBullet"/>
        <w:jc w:val="left"/>
      </w:pPr>
      <w:r>
        <w:t>Investigate the reported Out of Stock percentage of 62.96% as a priority. If confirmed, identify the categories and warehouses with the highest stockout rates and replenish high-demand items first.</w:t>
      </w:r>
    </w:p>
    <w:p>
      <w:pPr>
        <w:pStyle w:val="ListBullet"/>
        <w:jc w:val="left"/>
      </w:pPr>
      <w:r>
        <w:t>Validate inventory-status calculations and labels: the dashboard shows an Out of Stock KPI of 62.96% while the Inventory Status chart displays approximately 63% In Stock. Confirm that both visuals use consistent definitions and formulas.</w:t>
      </w:r>
    </w:p>
    <w:p>
      <w:pPr>
        <w:pStyle w:val="ListBullet"/>
        <w:jc w:val="left"/>
      </w:pPr>
      <w:r>
        <w:t>Set minimum stock levels and reorder points for high-demand products, using sales history and supplier lead times where available.</w:t>
      </w:r>
    </w:p>
    <w:p>
      <w:pPr>
        <w:pStyle w:val="ListBullet"/>
        <w:jc w:val="left"/>
      </w:pPr>
      <w:r>
        <w:t>Review inventory value and inventory cost by category to identify possible overstocking and working-capital risks. Consider stock age and sell-through rate before taking action.</w:t>
      </w:r>
    </w:p>
    <w:p>
      <w:pPr>
        <w:pStyle w:val="Heading1"/>
      </w:pPr>
      <w:r>
        <w:rPr>
          <w:rFonts w:ascii="Arial" w:hAnsi="Arial"/>
          <w:color w:val="00698C"/>
          <w:sz w:val="30"/>
        </w:rPr>
        <w:t>4. Customer and Marketing</w:t>
      </w:r>
    </w:p>
    <w:p>
      <w:pPr>
        <w:pStyle w:val="ListBullet"/>
        <w:jc w:val="left"/>
      </w:pPr>
      <w:r>
        <w:t>Search is the dominant traffic source in the dashboard. Review search traffic quality and conversion performance, and compare it with other channels before allocating more marketing budget.</w:t>
      </w:r>
    </w:p>
    <w:p>
      <w:pPr>
        <w:pStyle w:val="ListBullet"/>
        <w:jc w:val="left"/>
      </w:pPr>
      <w:r>
        <w:t>Measure conversion rate, revenue per visitor, and customer acquisition cost by traffic source if the required data is available.</w:t>
      </w:r>
    </w:p>
    <w:p>
      <w:pPr>
        <w:pStyle w:val="ListBullet"/>
        <w:jc w:val="left"/>
      </w:pPr>
      <w:r>
        <w:t>Use age-group and gender distributions to understand the customer base, but validate campaign decisions with category preferences and conversion data rather than demographics alone.</w:t>
      </w:r>
    </w:p>
    <w:p>
      <w:pPr>
        <w:pStyle w:val="ListBullet"/>
        <w:jc w:val="left"/>
      </w:pPr>
      <w:r>
        <w:t>Review product, cart, purchase, and cancellation events as a funnel. Identify where customers drop off and test improvements to product pages, checkout, and delivery information.</w:t>
      </w:r>
    </w:p>
    <w:p>
      <w:pPr>
        <w:pStyle w:val="Heading1"/>
      </w:pPr>
      <w:r>
        <w:rPr>
          <w:rFonts w:ascii="Arial" w:hAnsi="Arial"/>
          <w:color w:val="00698C"/>
          <w:sz w:val="30"/>
        </w:rPr>
        <w:t>5. Shipping and Operational Efficiency</w:t>
      </w:r>
    </w:p>
    <w:p>
      <w:pPr>
        <w:pStyle w:val="ListBullet"/>
        <w:jc w:val="left"/>
      </w:pPr>
      <w:r>
        <w:t>Track delivery time, late-delivery rate, cancellation rate, and return rate alongside inventory measures to build a fuller view of shipping performance.</w:t>
      </w:r>
    </w:p>
    <w:p>
      <w:pPr>
        <w:pStyle w:val="ListBullet"/>
        <w:jc w:val="left"/>
      </w:pPr>
      <w:r>
        <w:t>Compare warehouse-level stock availability and fulfillment performance to identify where transfers or replenishment could reduce delays.</w:t>
      </w:r>
    </w:p>
    <w:p>
      <w:pPr>
        <w:pStyle w:val="ListBullet"/>
        <w:jc w:val="left"/>
      </w:pPr>
      <w:r>
        <w:t>Create a regular operational review of stockouts, order status, and fulfillment exceptions so teams can act before issues affect customers.</w:t>
      </w:r>
    </w:p>
    <w:p>
      <w:pPr>
        <w:pStyle w:val="Heading1"/>
      </w:pPr>
      <w:r>
        <w:rPr>
          <w:rFonts w:ascii="Arial" w:hAnsi="Arial"/>
          <w:color w:val="00698C"/>
          <w:sz w:val="30"/>
        </w:rPr>
        <w:t>6. Dashboard and Data Quality Improvements</w:t>
      </w:r>
    </w:p>
    <w:p>
      <w:pPr>
        <w:pStyle w:val="ListBullet"/>
        <w:jc w:val="left"/>
      </w:pPr>
      <w:r>
        <w:t>Standardize KPI definitions and verify that all related charts and cards are calculated from the same filtered data.</w:t>
      </w:r>
    </w:p>
    <w:p>
      <w:pPr>
        <w:pStyle w:val="ListBullet"/>
        <w:jc w:val="left"/>
      </w:pPr>
      <w:r>
        <w:t>Add clear reporting-period context to annual trends, especially when the latest year may be incomplete.</w:t>
      </w:r>
    </w:p>
    <w:p>
      <w:pPr>
        <w:pStyle w:val="ListBullet"/>
        <w:jc w:val="left"/>
      </w:pPr>
      <w:r>
        <w:t>Use consistent number formatting, labels, and category naming across all four dashboard pages.</w:t>
      </w:r>
    </w:p>
    <w:p>
      <w:pPr>
        <w:pStyle w:val="ListBullet"/>
        <w:jc w:val="left"/>
      </w:pPr>
      <w:r>
        <w:t>Where practical, add slicers for Year and a relevant business dimension, while keeping the interface simple and consistent across pages.</w:t>
      </w:r>
    </w:p>
    <w:p>
      <w:pPr>
        <w:pStyle w:val="ListBullet"/>
        <w:jc w:val="left"/>
      </w:pPr>
      <w:r>
        <w:t>Validate unusual values, duplicates, missing data, and category labels before refreshing the dashboard.</w:t>
      </w:r>
    </w:p>
    <w:p>
      <w:pPr>
        <w:pStyle w:val="Heading1"/>
      </w:pPr>
      <w:r>
        <w:rPr>
          <w:rFonts w:ascii="Arial" w:hAnsi="Arial"/>
          <w:color w:val="00698C"/>
          <w:sz w:val="30"/>
        </w:rPr>
        <w:t>Recommended Priorities</w:t>
      </w:r>
    </w:p>
    <w:tbl>
      <w:tblPr>
        <w:tblStyle w:val="TableGrid"/>
        <w:tblW w:type="auto" w:w="0"/>
        <w:tblLook w:firstColumn="1" w:firstRow="1" w:lastColumn="0" w:lastRow="0" w:noHBand="0" w:noVBand="1" w:val="04A0"/>
      </w:tblPr>
      <w:tblGrid>
        <w:gridCol w:w="3312"/>
        <w:gridCol w:w="3312"/>
        <w:gridCol w:w="3312"/>
      </w:tblGrid>
      <w:tr>
        <w:tc>
          <w:tcPr>
            <w:tcW w:type="dxa" w:w="3312"/>
            <w:shd w:fill="0B2A43"/>
          </w:tcPr>
          <w:p>
            <w:r>
              <w:rPr>
                <w:b/>
                <w:color w:val="FFFFFF"/>
              </w:rPr>
              <w:t>Priority</w:t>
            </w:r>
          </w:p>
        </w:tc>
        <w:tc>
          <w:tcPr>
            <w:tcW w:type="dxa" w:w="3312"/>
            <w:shd w:fill="0B2A43"/>
          </w:tcPr>
          <w:p>
            <w:r>
              <w:rPr>
                <w:b/>
                <w:color w:val="FFFFFF"/>
              </w:rPr>
              <w:t>Recommended action</w:t>
            </w:r>
          </w:p>
        </w:tc>
        <w:tc>
          <w:tcPr>
            <w:tcW w:type="dxa" w:w="3312"/>
            <w:shd w:fill="0B2A43"/>
          </w:tcPr>
          <w:p>
            <w:r>
              <w:rPr>
                <w:b/>
                <w:color w:val="FFFFFF"/>
              </w:rPr>
              <w:t>Reason</w:t>
            </w:r>
          </w:p>
        </w:tc>
      </w:tr>
      <w:tr>
        <w:tc>
          <w:tcPr>
            <w:tcW w:type="dxa" w:w="3312"/>
          </w:tcPr>
          <w:p>
            <w:pPr>
              <w:spacing w:after="60"/>
            </w:pPr>
            <w:r>
              <w:t>High</w:t>
            </w:r>
          </w:p>
        </w:tc>
        <w:tc>
          <w:tcPr>
            <w:tcW w:type="dxa" w:w="3312"/>
          </w:tcPr>
          <w:p>
            <w:pPr>
              <w:spacing w:after="60"/>
            </w:pPr>
            <w:r>
              <w:t>Validate the Out of Stock KPI and inventory-status chart.</w:t>
            </w:r>
          </w:p>
        </w:tc>
        <w:tc>
          <w:tcPr>
            <w:tcW w:type="dxa" w:w="3312"/>
          </w:tcPr>
          <w:p>
            <w:pPr>
              <w:spacing w:after="60"/>
            </w:pPr>
            <w:r>
              <w:t>The visible metrics appear inconsistent and may change the interpretation of stock availability.</w:t>
            </w:r>
          </w:p>
        </w:tc>
      </w:tr>
      <w:tr>
        <w:tc>
          <w:tcPr>
            <w:tcW w:type="dxa" w:w="3312"/>
          </w:tcPr>
          <w:p>
            <w:pPr>
              <w:spacing w:after="60"/>
            </w:pPr>
            <w:r>
              <w:t>High</w:t>
            </w:r>
          </w:p>
        </w:tc>
        <w:tc>
          <w:tcPr>
            <w:tcW w:type="dxa" w:w="3312"/>
          </w:tcPr>
          <w:p>
            <w:pPr>
              <w:spacing w:after="60"/>
            </w:pPr>
            <w:r>
              <w:t>Confirm whether 2024 sales data is complete.</w:t>
            </w:r>
          </w:p>
        </w:tc>
        <w:tc>
          <w:tcPr>
            <w:tcW w:type="dxa" w:w="3312"/>
          </w:tcPr>
          <w:p>
            <w:pPr>
              <w:spacing w:after="60"/>
            </w:pPr>
            <w:r>
              <w:t>A partial year could make the apparent decline misleading.</w:t>
            </w:r>
          </w:p>
        </w:tc>
      </w:tr>
      <w:tr>
        <w:tc>
          <w:tcPr>
            <w:tcW w:type="dxa" w:w="3312"/>
          </w:tcPr>
          <w:p>
            <w:pPr>
              <w:spacing w:after="60"/>
            </w:pPr>
            <w:r>
              <w:t>High</w:t>
            </w:r>
          </w:p>
        </w:tc>
        <w:tc>
          <w:tcPr>
            <w:tcW w:type="dxa" w:w="3312"/>
          </w:tcPr>
          <w:p>
            <w:pPr>
              <w:spacing w:after="60"/>
            </w:pPr>
            <w:r>
              <w:t>Identify stockouts among high-demand products.</w:t>
            </w:r>
          </w:p>
        </w:tc>
        <w:tc>
          <w:tcPr>
            <w:tcW w:type="dxa" w:w="3312"/>
          </w:tcPr>
          <w:p>
            <w:pPr>
              <w:spacing w:after="60"/>
            </w:pPr>
            <w:r>
              <w:t>Improves product availability and may reduce lost sales.</w:t>
            </w:r>
          </w:p>
        </w:tc>
      </w:tr>
      <w:tr>
        <w:tc>
          <w:tcPr>
            <w:tcW w:type="dxa" w:w="3312"/>
          </w:tcPr>
          <w:p>
            <w:pPr>
              <w:spacing w:after="60"/>
            </w:pPr>
            <w:r>
              <w:t>Medium</w:t>
            </w:r>
          </w:p>
        </w:tc>
        <w:tc>
          <w:tcPr>
            <w:tcW w:type="dxa" w:w="3312"/>
          </w:tcPr>
          <w:p>
            <w:pPr>
              <w:spacing w:after="60"/>
            </w:pPr>
            <w:r>
              <w:t>Analyze the sales funnel by traffic source.</w:t>
            </w:r>
          </w:p>
        </w:tc>
        <w:tc>
          <w:tcPr>
            <w:tcW w:type="dxa" w:w="3312"/>
          </w:tcPr>
          <w:p>
            <w:pPr>
              <w:spacing w:after="60"/>
            </w:pPr>
            <w:r>
              <w:t>Helps identify opportunities to improve conversion.</w:t>
            </w:r>
          </w:p>
        </w:tc>
      </w:tr>
      <w:tr>
        <w:tc>
          <w:tcPr>
            <w:tcW w:type="dxa" w:w="3312"/>
          </w:tcPr>
          <w:p>
            <w:pPr>
              <w:spacing w:after="60"/>
            </w:pPr>
            <w:r>
              <w:t>Medium</w:t>
            </w:r>
          </w:p>
        </w:tc>
        <w:tc>
          <w:tcPr>
            <w:tcW w:type="dxa" w:w="3312"/>
          </w:tcPr>
          <w:p>
            <w:pPr>
              <w:spacing w:after="60"/>
            </w:pPr>
            <w:r>
              <w:t>Review category-level revenue, price, and margin together.</w:t>
            </w:r>
          </w:p>
        </w:tc>
        <w:tc>
          <w:tcPr>
            <w:tcW w:type="dxa" w:w="3312"/>
          </w:tcPr>
          <w:p>
            <w:pPr>
              <w:spacing w:after="60"/>
            </w:pPr>
            <w:r>
              <w:t>Supports better assortment and pricing decisions.</w:t>
            </w:r>
          </w:p>
        </w:tc>
      </w:tr>
    </w:tbl>
    <w:p/>
    <w:p>
      <w:pPr>
        <w:jc w:val="left"/>
      </w:pPr>
      <w:r>
        <w:rPr>
          <w:b/>
        </w:rPr>
        <w:t xml:space="preserve">Note: </w:t>
      </w:r>
      <w:r>
        <w:t>These are analytical recommendations, not confirmed causes. Validate each finding using the source data and additional metrics before making business decisions.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E7D"/>
        <w:sz w:val="18"/>
      </w:rPr>
      <w:t>THELOOK | Data Analysis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