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AE2" w:rsidRDefault="008B0AE2" w:rsidP="008B0AE2">
      <w:pPr>
        <w:pStyle w:val="Pa21"/>
        <w:spacing w:line="276" w:lineRule="auto"/>
        <w:rPr>
          <w:rFonts w:cs="Shaker 2 Lancet Regular"/>
          <w:color w:val="000000"/>
          <w:sz w:val="36"/>
          <w:szCs w:val="36"/>
        </w:rPr>
      </w:pPr>
      <w:r>
        <w:rPr>
          <w:rFonts w:cs="Shaker 2 Lancet Regular"/>
          <w:b/>
          <w:bCs/>
          <w:color w:val="000000"/>
          <w:sz w:val="36"/>
          <w:szCs w:val="36"/>
        </w:rPr>
        <w:t>TITLE</w:t>
      </w:r>
      <w:r w:rsidR="002F5D94">
        <w:rPr>
          <w:rFonts w:cs="Shaker 2 Lancet Regular"/>
          <w:b/>
          <w:bCs/>
          <w:color w:val="000000"/>
          <w:sz w:val="36"/>
          <w:szCs w:val="36"/>
        </w:rPr>
        <w:t>???</w:t>
      </w:r>
    </w:p>
    <w:p w:rsidR="008B0AE2" w:rsidRPr="00801E7F" w:rsidRDefault="008B0AE2" w:rsidP="008B0AE2">
      <w:pPr>
        <w:pStyle w:val="Pa31"/>
        <w:spacing w:line="276" w:lineRule="auto"/>
        <w:rPr>
          <w:rFonts w:cs="Shaker 2 Lancet Regular"/>
          <w:i/>
          <w:iCs/>
          <w:color w:val="000000"/>
          <w:sz w:val="19"/>
          <w:szCs w:val="19"/>
        </w:rPr>
      </w:pPr>
    </w:p>
    <w:p w:rsidR="008B0AE2" w:rsidRPr="00801E7F" w:rsidRDefault="00CA7093" w:rsidP="008B0AE2">
      <w:pPr>
        <w:pStyle w:val="Pa31"/>
        <w:spacing w:line="276" w:lineRule="auto"/>
        <w:rPr>
          <w:rFonts w:cs="Shaker 2 Lancet Regular"/>
          <w:color w:val="000000"/>
          <w:sz w:val="19"/>
          <w:szCs w:val="19"/>
        </w:rPr>
      </w:pPr>
      <w:r w:rsidRPr="00801E7F">
        <w:rPr>
          <w:rFonts w:cs="Shaker 2 Lancet Regular"/>
          <w:i/>
          <w:iCs/>
          <w:color w:val="000000"/>
          <w:sz w:val="19"/>
          <w:szCs w:val="19"/>
        </w:rPr>
        <w:t>Abraham D Flaxman, Brad Bell, Hannah M Peterson</w:t>
      </w:r>
    </w:p>
    <w:p w:rsidR="004D03BB" w:rsidRPr="00801E7F" w:rsidRDefault="004D03BB" w:rsidP="008B0AE2">
      <w:pPr>
        <w:pStyle w:val="Pa4"/>
        <w:spacing w:line="276" w:lineRule="auto"/>
        <w:rPr>
          <w:rFonts w:cs="Shaker 2 Lancet Regular"/>
          <w:b/>
          <w:bCs/>
          <w:color w:val="000000"/>
          <w:sz w:val="19"/>
          <w:szCs w:val="19"/>
        </w:rPr>
      </w:pPr>
    </w:p>
    <w:p w:rsidR="008B0AE2" w:rsidRDefault="008B0AE2" w:rsidP="008B0AE2">
      <w:pPr>
        <w:pStyle w:val="Pa4"/>
        <w:spacing w:line="276" w:lineRule="auto"/>
        <w:rPr>
          <w:rFonts w:cs="Shaker 2 Lancet Regular"/>
          <w:color w:val="000000"/>
          <w:sz w:val="22"/>
          <w:szCs w:val="22"/>
        </w:rPr>
      </w:pPr>
      <w:r>
        <w:rPr>
          <w:rFonts w:cs="Shaker 2 Lancet Regular"/>
          <w:b/>
          <w:bCs/>
          <w:color w:val="000000"/>
          <w:sz w:val="22"/>
          <w:szCs w:val="22"/>
        </w:rPr>
        <w:t>Abstract</w:t>
      </w:r>
    </w:p>
    <w:p w:rsidR="000008BE" w:rsidRPr="00801E7F" w:rsidRDefault="008B0AE2" w:rsidP="000008BE">
      <w:pPr>
        <w:pStyle w:val="Pa5"/>
        <w:spacing w:line="276" w:lineRule="auto"/>
        <w:jc w:val="both"/>
        <w:rPr>
          <w:sz w:val="19"/>
          <w:szCs w:val="19"/>
        </w:rPr>
      </w:pPr>
      <w:r w:rsidRPr="00801E7F">
        <w:rPr>
          <w:rFonts w:cs="Shaker 2 Lancet Regular"/>
          <w:b/>
          <w:bCs/>
          <w:color w:val="000000"/>
          <w:sz w:val="19"/>
          <w:szCs w:val="19"/>
        </w:rPr>
        <w:t xml:space="preserve">Background </w:t>
      </w:r>
      <w:r w:rsidR="004D03BB" w:rsidRPr="00801E7F">
        <w:rPr>
          <w:rFonts w:ascii="ScalaLancetPro" w:hAnsi="ScalaLancetPro" w:cs="ScalaLancetPro"/>
          <w:bCs/>
          <w:color w:val="000000"/>
          <w:sz w:val="19"/>
          <w:szCs w:val="19"/>
        </w:rPr>
        <w:t>The Bayesian</w:t>
      </w:r>
      <w:r w:rsidR="00801E7F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metaregression tool DisMod-MR </w:t>
      </w:r>
      <w:r w:rsidR="00801E7F">
        <w:rPr>
          <w:rFonts w:ascii="ScalaLancetPro" w:hAnsi="ScalaLancetPro" w:cs="ScalaLancetPro"/>
          <w:bCs/>
          <w:color w:val="000000"/>
          <w:sz w:val="19"/>
          <w:szCs w:val="19"/>
        </w:rPr>
        <w:t>produces age-specific prevalence estimates</w:t>
      </w:r>
      <w:r w:rsidR="00946F21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for the nonfatal outcomes </w:t>
      </w:r>
      <w:r w:rsidR="001C4D1E">
        <w:rPr>
          <w:rFonts w:ascii="ScalaLancetPro" w:hAnsi="ScalaLancetPro" w:cs="ScalaLancetPro"/>
          <w:bCs/>
          <w:color w:val="000000"/>
          <w:sz w:val="19"/>
          <w:szCs w:val="19"/>
        </w:rPr>
        <w:t>of</w:t>
      </w:r>
      <w:r w:rsidR="00946F21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a variety of </w:t>
      </w:r>
      <w:r w:rsidR="005D4C7A">
        <w:rPr>
          <w:rFonts w:ascii="ScalaLancetPro" w:hAnsi="ScalaLancetPro" w:cs="ScalaLancetPro"/>
          <w:bCs/>
          <w:color w:val="000000"/>
          <w:sz w:val="19"/>
          <w:szCs w:val="19"/>
        </w:rPr>
        <w:t xml:space="preserve">diseases, injuries, and risk factors for the </w:t>
      </w:r>
      <w:r w:rsidR="004D03BB" w:rsidRPr="00801E7F">
        <w:rPr>
          <w:rFonts w:ascii="ScalaLancetPro" w:hAnsi="ScalaLancetPro" w:cs="ScalaLancetPro"/>
          <w:bCs/>
          <w:color w:val="000000"/>
          <w:sz w:val="19"/>
          <w:szCs w:val="19"/>
        </w:rPr>
        <w:t>Global Burden of Disease, Injuries, and Risk Factors Study 2010 (GBD 2010</w:t>
      </w:r>
      <w:r w:rsidR="007C208E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Study</w:t>
      </w:r>
      <w:r w:rsidR="004D03BB" w:rsidRPr="00801E7F">
        <w:rPr>
          <w:rFonts w:ascii="ScalaLancetPro" w:hAnsi="ScalaLancetPro" w:cs="ScalaLancetPro"/>
          <w:bCs/>
          <w:color w:val="000000"/>
          <w:sz w:val="19"/>
          <w:szCs w:val="19"/>
        </w:rPr>
        <w:t>)</w:t>
      </w:r>
      <w:r w:rsidR="005D4C7A">
        <w:rPr>
          <w:rFonts w:ascii="ScalaLancetPro" w:hAnsi="ScalaLancetPro" w:cs="ScalaLancetPro"/>
          <w:bCs/>
          <w:color w:val="000000"/>
          <w:sz w:val="19"/>
          <w:szCs w:val="19"/>
        </w:rPr>
        <w:t>.</w:t>
      </w:r>
      <w:r w:rsidR="00723E26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 </w:t>
      </w:r>
      <w:r w:rsidR="007C208E">
        <w:rPr>
          <w:rFonts w:ascii="ScalaLancetPro" w:hAnsi="ScalaLancetPro" w:cs="ScalaLancetPro"/>
          <w:bCs/>
          <w:color w:val="000000"/>
          <w:sz w:val="19"/>
          <w:szCs w:val="19"/>
        </w:rPr>
        <w:t xml:space="preserve">Results of systematic reviews </w:t>
      </w:r>
      <w:r w:rsidR="00F8651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for the GBD 2010 Study </w:t>
      </w:r>
      <w:r w:rsidR="007C208E">
        <w:rPr>
          <w:rFonts w:ascii="ScalaLancetPro" w:hAnsi="ScalaLancetPro" w:cs="ScalaLancetPro"/>
          <w:bCs/>
          <w:color w:val="000000"/>
          <w:sz w:val="19"/>
          <w:szCs w:val="19"/>
        </w:rPr>
        <w:t>are often very sparse and noisy</w:t>
      </w:r>
      <w:r w:rsidR="00F8651F">
        <w:rPr>
          <w:rFonts w:ascii="ScalaLancetPro" w:hAnsi="ScalaLancetPro" w:cs="ScalaLancetPro"/>
          <w:bCs/>
          <w:color w:val="000000"/>
          <w:sz w:val="19"/>
          <w:szCs w:val="19"/>
        </w:rPr>
        <w:t>, meaing that</w:t>
      </w:r>
      <w:r w:rsidR="002F5D94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</w:t>
      </w:r>
      <w:r w:rsidR="00723E26">
        <w:rPr>
          <w:rFonts w:ascii="ScalaLancetPro" w:hAnsi="ScalaLancetPro" w:cs="ScalaLancetPro"/>
          <w:bCs/>
          <w:color w:val="000000"/>
          <w:sz w:val="19"/>
          <w:szCs w:val="19"/>
        </w:rPr>
        <w:t xml:space="preserve">DisMod-MR </w:t>
      </w:r>
      <w:r w:rsidR="00F8651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must </w:t>
      </w:r>
      <w:r w:rsidR="00723E26">
        <w:rPr>
          <w:rFonts w:ascii="ScalaLancetPro" w:hAnsi="ScalaLancetPro" w:cs="ScalaLancetPro"/>
          <w:bCs/>
          <w:color w:val="000000"/>
          <w:sz w:val="19"/>
          <w:szCs w:val="19"/>
        </w:rPr>
        <w:t xml:space="preserve">use age fixed effects, fixed effects to capture variation across countries </w:t>
      </w:r>
      <w:r w:rsidR="00251DEF">
        <w:rPr>
          <w:rFonts w:ascii="ScalaLancetPro" w:hAnsi="ScalaLancetPro" w:cs="ScalaLancetPro"/>
          <w:bCs/>
          <w:color w:val="000000"/>
          <w:sz w:val="19"/>
          <w:szCs w:val="19"/>
        </w:rPr>
        <w:t>and</w:t>
      </w:r>
      <w:r w:rsidR="00723E26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studies</w:t>
      </w:r>
      <w:r w:rsidR="00251DE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using covariates</w:t>
      </w:r>
      <w:r w:rsidR="00723E26">
        <w:rPr>
          <w:rFonts w:ascii="ScalaLancetPro" w:hAnsi="ScalaLancetPro" w:cs="ScalaLancetPro"/>
          <w:bCs/>
          <w:color w:val="000000"/>
          <w:sz w:val="19"/>
          <w:szCs w:val="19"/>
        </w:rPr>
        <w:t>, and random effects</w:t>
      </w:r>
      <w:r w:rsidR="00251DE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for </w:t>
      </w:r>
      <w:r w:rsidR="00251DEF">
        <w:rPr>
          <w:rFonts w:ascii="ScalaLancetPro" w:hAnsi="ScalaLancetPro" w:cs="ScalaLancetPro"/>
          <w:bCs/>
          <w:color w:val="000000"/>
          <w:sz w:val="19"/>
          <w:szCs w:val="19"/>
        </w:rPr>
        <w:t>superregion</w:t>
      </w:r>
      <w:r w:rsidR="00251DEF">
        <w:rPr>
          <w:rFonts w:ascii="ScalaLancetPro" w:hAnsi="ScalaLancetPro" w:cs="ScalaLancetPro"/>
          <w:bCs/>
          <w:color w:val="000000"/>
          <w:sz w:val="19"/>
          <w:szCs w:val="19"/>
        </w:rPr>
        <w:t>s</w:t>
      </w:r>
      <w:r w:rsidR="00251DEF">
        <w:rPr>
          <w:rFonts w:ascii="ScalaLancetPro" w:hAnsi="ScalaLancetPro" w:cs="ScalaLancetPro"/>
          <w:bCs/>
          <w:color w:val="000000"/>
          <w:sz w:val="19"/>
          <w:szCs w:val="19"/>
        </w:rPr>
        <w:t>, region</w:t>
      </w:r>
      <w:r w:rsidR="00251DEF">
        <w:rPr>
          <w:rFonts w:ascii="ScalaLancetPro" w:hAnsi="ScalaLancetPro" w:cs="ScalaLancetPro"/>
          <w:bCs/>
          <w:color w:val="000000"/>
          <w:sz w:val="19"/>
          <w:szCs w:val="19"/>
        </w:rPr>
        <w:t>s</w:t>
      </w:r>
      <w:r w:rsidR="00251DEF">
        <w:rPr>
          <w:rFonts w:ascii="ScalaLancetPro" w:hAnsi="ScalaLancetPro" w:cs="ScalaLancetPro"/>
          <w:bCs/>
          <w:color w:val="000000"/>
          <w:sz w:val="19"/>
          <w:szCs w:val="19"/>
        </w:rPr>
        <w:t>, and countr</w:t>
      </w:r>
      <w:r w:rsidR="00251DEF">
        <w:rPr>
          <w:rFonts w:ascii="ScalaLancetPro" w:hAnsi="ScalaLancetPro" w:cs="ScalaLancetPro"/>
          <w:bCs/>
          <w:color w:val="000000"/>
          <w:sz w:val="19"/>
          <w:szCs w:val="19"/>
        </w:rPr>
        <w:t>ies</w:t>
      </w:r>
      <w:r w:rsidR="00F8651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to make predictions of prevalence for all regions of the world</w:t>
      </w:r>
      <w:r w:rsidR="00723E26">
        <w:rPr>
          <w:rFonts w:ascii="ScalaLancetPro" w:hAnsi="ScalaLancetPro" w:cs="ScalaLancetPro"/>
          <w:bCs/>
          <w:color w:val="000000"/>
          <w:sz w:val="19"/>
          <w:szCs w:val="19"/>
        </w:rPr>
        <w:t>.</w:t>
      </w:r>
      <w:r w:rsidR="00AD7071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 </w:t>
      </w:r>
      <w:r w:rsidR="000008BE">
        <w:rPr>
          <w:rFonts w:ascii="ScalaLancetPro" w:hAnsi="ScalaLancetPro" w:cs="ScalaLancetPro"/>
          <w:bCs/>
          <w:color w:val="000000"/>
          <w:sz w:val="19"/>
          <w:szCs w:val="19"/>
        </w:rPr>
        <w:t xml:space="preserve">With such sparse and noisy data, the </w:t>
      </w:r>
      <w:r w:rsidR="000008BE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robustness </w:t>
      </w:r>
      <w:r w:rsidR="000008BE">
        <w:rPr>
          <w:rFonts w:ascii="ScalaLancetPro" w:hAnsi="ScalaLancetPro" w:cs="ScalaLancetPro"/>
          <w:bCs/>
          <w:color w:val="000000"/>
          <w:sz w:val="19"/>
          <w:szCs w:val="19"/>
        </w:rPr>
        <w:t xml:space="preserve">of the metaregression framework is tested with the </w:t>
      </w:r>
      <w:r w:rsidR="000008BE" w:rsidRPr="00801E7F">
        <w:rPr>
          <w:rFonts w:ascii="ScalaLancetPro" w:hAnsi="ScalaLancetPro" w:cs="ScalaLancetPro"/>
          <w:bCs/>
          <w:color w:val="000000"/>
          <w:sz w:val="19"/>
          <w:szCs w:val="19"/>
        </w:rPr>
        <w:t>negative binomial, binomial, normal, lognormal, and offset lognormal rate models.</w:t>
      </w:r>
    </w:p>
    <w:p w:rsidR="008B0AE2" w:rsidRPr="00801E7F" w:rsidRDefault="008B0AE2" w:rsidP="008B0AE2">
      <w:pPr>
        <w:pStyle w:val="Pa5"/>
        <w:spacing w:line="276" w:lineRule="auto"/>
        <w:jc w:val="both"/>
        <w:rPr>
          <w:rFonts w:cs="Shaker 2 Lancet Regular"/>
          <w:b/>
          <w:bCs/>
          <w:color w:val="000000"/>
          <w:sz w:val="19"/>
          <w:szCs w:val="19"/>
        </w:rPr>
      </w:pPr>
    </w:p>
    <w:p w:rsidR="007C208E" w:rsidRDefault="008B0AE2" w:rsidP="008B0AE2">
      <w:pPr>
        <w:pStyle w:val="Pa5"/>
        <w:spacing w:line="276" w:lineRule="auto"/>
        <w:jc w:val="both"/>
        <w:rPr>
          <w:rFonts w:ascii="ScalaLancetPro" w:hAnsi="ScalaLancetPro" w:cs="ScalaLancetPro"/>
          <w:bCs/>
          <w:color w:val="000000"/>
          <w:sz w:val="19"/>
          <w:szCs w:val="19"/>
        </w:rPr>
      </w:pPr>
      <w:r w:rsidRPr="00801E7F">
        <w:rPr>
          <w:rFonts w:cs="Shaker 2 Lancet Regular"/>
          <w:b/>
          <w:bCs/>
          <w:color w:val="000000"/>
          <w:sz w:val="19"/>
          <w:szCs w:val="19"/>
        </w:rPr>
        <w:t xml:space="preserve">Methods </w:t>
      </w:r>
      <w:r w:rsidR="00AC149E">
        <w:rPr>
          <w:rFonts w:ascii="ScalaLancetPro" w:hAnsi="ScalaLancetPro" w:cs="ScalaLancetPro"/>
          <w:bCs/>
          <w:color w:val="000000"/>
          <w:sz w:val="19"/>
          <w:szCs w:val="19"/>
        </w:rPr>
        <w:t>Using disease and injury models from the GBD 2010 Study with more than 4 prevalence data points in the GDB 2010 Study geogra</w:t>
      </w:r>
      <w:r w:rsidR="00851D25">
        <w:rPr>
          <w:rFonts w:ascii="ScalaLancetPro" w:hAnsi="ScalaLancetPro" w:cs="ScalaLancetPro"/>
          <w:bCs/>
          <w:color w:val="000000"/>
          <w:sz w:val="19"/>
          <w:szCs w:val="19"/>
        </w:rPr>
        <w:t xml:space="preserve">phic region of Western Europe, </w:t>
      </w:r>
      <w:r w:rsidR="00AC149E">
        <w:rPr>
          <w:rFonts w:ascii="ScalaLancetPro" w:hAnsi="ScalaLancetPro" w:cs="ScalaLancetPro"/>
          <w:bCs/>
          <w:color w:val="000000"/>
          <w:sz w:val="19"/>
          <w:szCs w:val="19"/>
        </w:rPr>
        <w:t>ho</w:t>
      </w:r>
      <w:r w:rsidR="007C208E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ldout cross validation predictive validity </w:t>
      </w:r>
      <w:r w:rsidR="007C208E">
        <w:rPr>
          <w:rFonts w:ascii="ScalaLancetPro" w:hAnsi="ScalaLancetPro" w:cs="ScalaLancetPro"/>
          <w:bCs/>
          <w:color w:val="000000"/>
          <w:sz w:val="19"/>
          <w:szCs w:val="19"/>
        </w:rPr>
        <w:t>measured t</w:t>
      </w:r>
      <w:r w:rsidR="007C208E" w:rsidRPr="00801E7F">
        <w:rPr>
          <w:rFonts w:ascii="ScalaLancetPro" w:hAnsi="ScalaLancetPro" w:cs="ScalaLancetPro"/>
          <w:bCs/>
          <w:color w:val="000000"/>
          <w:sz w:val="19"/>
          <w:szCs w:val="19"/>
        </w:rPr>
        <w:t>he bias, root mean squared error (RMSE), median absolute error</w:t>
      </w:r>
      <w:r w:rsidR="00AC149E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(MAE)</w:t>
      </w:r>
      <w:r w:rsidR="007C208E" w:rsidRPr="00801E7F">
        <w:rPr>
          <w:rFonts w:ascii="ScalaLancetPro" w:hAnsi="ScalaLancetPro" w:cs="ScalaLancetPro"/>
          <w:bCs/>
          <w:color w:val="000000"/>
          <w:sz w:val="19"/>
          <w:szCs w:val="19"/>
        </w:rPr>
        <w:t>, coverage probability</w:t>
      </w:r>
      <w:r w:rsidR="00AC149E">
        <w:rPr>
          <w:rFonts w:ascii="ScalaLancetPro" w:hAnsi="ScalaLancetPro" w:cs="ScalaLancetPro"/>
          <w:bCs/>
          <w:color w:val="000000"/>
          <w:sz w:val="19"/>
          <w:szCs w:val="19"/>
        </w:rPr>
        <w:t>,</w:t>
      </w:r>
      <w:r w:rsidR="007C208E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and computation time</w:t>
      </w:r>
      <w:r w:rsidR="00851D25">
        <w:rPr>
          <w:rFonts w:ascii="ScalaLancetPro" w:hAnsi="ScalaLancetPro" w:cs="ScalaLancetPro"/>
          <w:bCs/>
          <w:color w:val="000000"/>
          <w:sz w:val="19"/>
          <w:szCs w:val="19"/>
        </w:rPr>
        <w:t>.  These performance statistics</w:t>
      </w:r>
      <w:r w:rsidR="007C208E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were calculated with for the negative binomial, binomial, normal, lognormal, and offset lognormal rate models</w:t>
      </w:r>
      <w:r w:rsidR="00AC149E">
        <w:rPr>
          <w:rFonts w:ascii="ScalaLancetPro" w:hAnsi="ScalaLancetPro" w:cs="ScalaLancetPro"/>
          <w:bCs/>
          <w:color w:val="000000"/>
          <w:sz w:val="19"/>
          <w:szCs w:val="19"/>
        </w:rPr>
        <w:t xml:space="preserve">.  </w:t>
      </w:r>
    </w:p>
    <w:p w:rsidR="008B0AE2" w:rsidRPr="00801E7F" w:rsidRDefault="008B0AE2" w:rsidP="008B0AE2">
      <w:pPr>
        <w:pStyle w:val="Pa5"/>
        <w:spacing w:line="276" w:lineRule="auto"/>
        <w:jc w:val="both"/>
        <w:rPr>
          <w:rFonts w:cs="Shaker 2 Lancet Regular"/>
          <w:b/>
          <w:bCs/>
          <w:color w:val="000000"/>
          <w:sz w:val="19"/>
          <w:szCs w:val="19"/>
        </w:rPr>
      </w:pPr>
    </w:p>
    <w:p w:rsidR="008B0AE2" w:rsidRPr="00801E7F" w:rsidRDefault="008B0AE2" w:rsidP="008B0AE2">
      <w:pPr>
        <w:pStyle w:val="Pa5"/>
        <w:spacing w:line="276" w:lineRule="auto"/>
        <w:jc w:val="both"/>
        <w:rPr>
          <w:rFonts w:ascii="ScalaLancetPro" w:hAnsi="ScalaLancetPro" w:cs="ScalaLancetPro"/>
          <w:bCs/>
          <w:color w:val="000000"/>
          <w:sz w:val="19"/>
          <w:szCs w:val="19"/>
        </w:rPr>
      </w:pPr>
      <w:r w:rsidRPr="00801E7F">
        <w:rPr>
          <w:rFonts w:cs="Shaker 2 Lancet Regular"/>
          <w:b/>
          <w:bCs/>
          <w:color w:val="000000"/>
          <w:sz w:val="19"/>
          <w:szCs w:val="19"/>
        </w:rPr>
        <w:t xml:space="preserve">Findings </w:t>
      </w:r>
      <w:r w:rsidR="00001BA3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With quality of </w:t>
      </w:r>
      <w:r w:rsidR="002F5D94">
        <w:rPr>
          <w:rFonts w:ascii="ScalaLancetPro" w:hAnsi="ScalaLancetPro" w:cs="ScalaLancetPro"/>
          <w:bCs/>
          <w:color w:val="000000"/>
          <w:sz w:val="19"/>
          <w:szCs w:val="19"/>
        </w:rPr>
        <w:t>available data</w:t>
      </w:r>
      <w:r w:rsidR="00001BA3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, DisMod-MR is </w:t>
      </w:r>
      <w:r w:rsidR="00F8651F">
        <w:rPr>
          <w:rFonts w:ascii="ScalaLancetPro" w:hAnsi="ScalaLancetPro" w:cs="ScalaLancetPro"/>
          <w:bCs/>
          <w:color w:val="000000"/>
          <w:sz w:val="19"/>
          <w:szCs w:val="19"/>
        </w:rPr>
        <w:t>not sensitive</w:t>
      </w:r>
      <w:r w:rsidR="00001BA3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to rate model choice.  However, with different rate </w:t>
      </w:r>
      <w:r w:rsidR="00ED7B91" w:rsidRPr="00801E7F">
        <w:rPr>
          <w:rFonts w:ascii="ScalaLancetPro" w:hAnsi="ScalaLancetPro" w:cs="ScalaLancetPro"/>
          <w:bCs/>
          <w:color w:val="000000"/>
          <w:sz w:val="19"/>
          <w:szCs w:val="19"/>
        </w:rPr>
        <w:t>models</w:t>
      </w:r>
      <w:r w:rsidR="00001BA3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, different computation times may be achieved.  Computation time </w:t>
      </w:r>
      <w:r w:rsidR="00EE0785" w:rsidRPr="00801E7F">
        <w:rPr>
          <w:rFonts w:ascii="ScalaLancetPro" w:hAnsi="ScalaLancetPro" w:cs="ScalaLancetPro"/>
          <w:bCs/>
          <w:color w:val="000000"/>
          <w:sz w:val="19"/>
          <w:szCs w:val="19"/>
        </w:rPr>
        <w:t>is also dependent on the number of data points and geographic areas used for the random effects.</w:t>
      </w:r>
    </w:p>
    <w:p w:rsidR="00001BA3" w:rsidRPr="00801E7F" w:rsidRDefault="00001BA3" w:rsidP="00001BA3">
      <w:pPr>
        <w:rPr>
          <w:sz w:val="19"/>
          <w:szCs w:val="19"/>
        </w:rPr>
      </w:pPr>
    </w:p>
    <w:p w:rsidR="008B0AE2" w:rsidRPr="00801E7F" w:rsidRDefault="008B0AE2" w:rsidP="008B0AE2">
      <w:pPr>
        <w:pStyle w:val="Pa5"/>
        <w:spacing w:line="276" w:lineRule="auto"/>
        <w:jc w:val="both"/>
        <w:rPr>
          <w:rFonts w:ascii="ScalaLancetPro" w:hAnsi="ScalaLancetPro" w:cs="ScalaLancetPro"/>
          <w:bCs/>
          <w:color w:val="000000"/>
          <w:sz w:val="19"/>
          <w:szCs w:val="19"/>
        </w:rPr>
      </w:pPr>
      <w:r w:rsidRPr="00801E7F">
        <w:rPr>
          <w:rFonts w:cs="Shaker 2 Lancet Regular"/>
          <w:b/>
          <w:bCs/>
          <w:color w:val="000000"/>
          <w:sz w:val="19"/>
          <w:szCs w:val="19"/>
        </w:rPr>
        <w:t xml:space="preserve">Interpretation </w:t>
      </w:r>
      <w:r w:rsidR="00F8651F">
        <w:rPr>
          <w:rFonts w:ascii="ScalaLancetPro" w:hAnsi="ScalaLancetPro" w:cs="ScalaLancetPro"/>
          <w:bCs/>
          <w:color w:val="000000"/>
          <w:sz w:val="19"/>
          <w:szCs w:val="19"/>
        </w:rPr>
        <w:t>The r</w:t>
      </w:r>
      <w:r w:rsidRPr="00801E7F">
        <w:rPr>
          <w:rFonts w:ascii="ScalaLancetPro" w:hAnsi="ScalaLancetPro" w:cs="ScalaLancetPro"/>
          <w:bCs/>
          <w:color w:val="000000"/>
          <w:sz w:val="19"/>
          <w:szCs w:val="19"/>
        </w:rPr>
        <w:t>esults</w:t>
      </w:r>
      <w:r w:rsidR="00801E7F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highlight </w:t>
      </w:r>
      <w:r w:rsidR="00F8651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many </w:t>
      </w:r>
      <w:r w:rsidR="00801E7F"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research areas where </w:t>
      </w:r>
      <w:r w:rsidR="00F8651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more </w:t>
      </w:r>
      <w:r w:rsidR="00801E7F" w:rsidRPr="00801E7F">
        <w:rPr>
          <w:rFonts w:ascii="ScalaLancetPro" w:hAnsi="ScalaLancetPro" w:cs="ScalaLancetPro"/>
          <w:bCs/>
          <w:color w:val="000000"/>
          <w:sz w:val="19"/>
          <w:szCs w:val="19"/>
        </w:rPr>
        <w:t>data collection is needed.</w:t>
      </w:r>
      <w:r w:rsidR="00F8651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 Careful selection of rate model choice can lead to faster computation times.</w:t>
      </w:r>
    </w:p>
    <w:p w:rsidR="008B0AE2" w:rsidRPr="00801E7F" w:rsidRDefault="008B0AE2" w:rsidP="008B0AE2">
      <w:pPr>
        <w:rPr>
          <w:sz w:val="19"/>
          <w:szCs w:val="19"/>
        </w:rPr>
      </w:pPr>
    </w:p>
    <w:p w:rsidR="008B0AE2" w:rsidRPr="00801E7F" w:rsidRDefault="008B0AE2" w:rsidP="008B0AE2">
      <w:pPr>
        <w:pStyle w:val="Pa5"/>
        <w:spacing w:line="276" w:lineRule="auto"/>
        <w:jc w:val="both"/>
        <w:rPr>
          <w:rFonts w:cs="Shaker 2 Lancet Regular"/>
          <w:b/>
          <w:bCs/>
          <w:color w:val="000000"/>
          <w:sz w:val="19"/>
          <w:szCs w:val="19"/>
        </w:rPr>
      </w:pPr>
      <w:r w:rsidRPr="00801E7F">
        <w:rPr>
          <w:rFonts w:cs="Shaker 2 Lancet Regular"/>
          <w:b/>
          <w:bCs/>
          <w:color w:val="000000"/>
          <w:sz w:val="19"/>
          <w:szCs w:val="19"/>
        </w:rPr>
        <w:t>Funding sources</w:t>
      </w:r>
      <w:r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</w:t>
      </w:r>
      <w:r w:rsidR="002F5D94">
        <w:rPr>
          <w:rFonts w:ascii="ScalaLancetPro" w:hAnsi="ScalaLancetPro" w:cs="ScalaLancetPro"/>
          <w:bCs/>
          <w:color w:val="000000"/>
          <w:sz w:val="19"/>
          <w:szCs w:val="19"/>
        </w:rPr>
        <w:t>???</w:t>
      </w:r>
    </w:p>
    <w:p w:rsidR="008B0AE2" w:rsidRPr="00801E7F" w:rsidRDefault="008B0AE2" w:rsidP="008B0AE2">
      <w:pPr>
        <w:pStyle w:val="Pa5"/>
        <w:spacing w:line="276" w:lineRule="auto"/>
        <w:jc w:val="both"/>
        <w:rPr>
          <w:rFonts w:cs="Shaker 2 Lancet Regular"/>
          <w:b/>
          <w:bCs/>
          <w:color w:val="000000"/>
          <w:sz w:val="19"/>
          <w:szCs w:val="19"/>
        </w:rPr>
      </w:pPr>
      <w:r w:rsidRPr="00801E7F">
        <w:rPr>
          <w:rFonts w:cs="Shaker 2 Lancet Regular"/>
          <w:b/>
          <w:bCs/>
          <w:color w:val="000000"/>
          <w:sz w:val="19"/>
          <w:szCs w:val="19"/>
        </w:rPr>
        <w:t>Author contributions</w:t>
      </w:r>
      <w:r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</w:t>
      </w:r>
      <w:r w:rsidR="002F5D94">
        <w:rPr>
          <w:rFonts w:ascii="ScalaLancetPro" w:hAnsi="ScalaLancetPro" w:cs="ScalaLancetPro"/>
          <w:bCs/>
          <w:color w:val="000000"/>
          <w:sz w:val="19"/>
          <w:szCs w:val="19"/>
        </w:rPr>
        <w:t>???</w:t>
      </w:r>
    </w:p>
    <w:p w:rsidR="008B0AE2" w:rsidRPr="00801E7F" w:rsidRDefault="008B0AE2" w:rsidP="008B0AE2">
      <w:pPr>
        <w:pStyle w:val="Pa5"/>
        <w:spacing w:line="276" w:lineRule="auto"/>
        <w:jc w:val="both"/>
        <w:rPr>
          <w:rFonts w:cs="Shaker 2 Lancet Regular"/>
          <w:b/>
          <w:bCs/>
          <w:color w:val="000000"/>
          <w:sz w:val="19"/>
          <w:szCs w:val="19"/>
        </w:rPr>
      </w:pPr>
      <w:r w:rsidRPr="00801E7F">
        <w:rPr>
          <w:rFonts w:cs="Shaker 2 Lancet Regular"/>
          <w:b/>
          <w:bCs/>
          <w:color w:val="000000"/>
          <w:sz w:val="19"/>
          <w:szCs w:val="19"/>
        </w:rPr>
        <w:t>Disclosure of conflicts of interest</w:t>
      </w:r>
      <w:r w:rsidRPr="00801E7F">
        <w:rPr>
          <w:rFonts w:ascii="ScalaLancetPro" w:hAnsi="ScalaLancetPro" w:cs="ScalaLancetPro"/>
          <w:bCs/>
          <w:color w:val="000000"/>
          <w:sz w:val="19"/>
          <w:szCs w:val="19"/>
        </w:rPr>
        <w:t xml:space="preserve"> </w:t>
      </w:r>
      <w:r w:rsidR="002F5D94">
        <w:rPr>
          <w:rFonts w:ascii="ScalaLancetPro" w:hAnsi="ScalaLancetPro" w:cs="ScalaLancetPro"/>
          <w:bCs/>
          <w:color w:val="000000"/>
          <w:sz w:val="19"/>
          <w:szCs w:val="19"/>
        </w:rPr>
        <w:t>???</w:t>
      </w:r>
    </w:p>
    <w:p w:rsidR="008B0AE2" w:rsidRPr="00801E7F" w:rsidRDefault="008B0AE2" w:rsidP="008B0AE2">
      <w:pPr>
        <w:pStyle w:val="Pa5"/>
        <w:spacing w:line="276" w:lineRule="auto"/>
        <w:jc w:val="both"/>
        <w:rPr>
          <w:rFonts w:ascii="ScalaLancetPro" w:hAnsi="ScalaLancetPro" w:cs="ScalaLancetPro"/>
          <w:b/>
          <w:bCs/>
          <w:color w:val="000000"/>
          <w:sz w:val="19"/>
          <w:szCs w:val="19"/>
        </w:rPr>
      </w:pPr>
      <w:r w:rsidRPr="00801E7F">
        <w:rPr>
          <w:rFonts w:cs="Shaker 2 Lancet Regular"/>
          <w:b/>
          <w:bCs/>
          <w:color w:val="000000"/>
          <w:sz w:val="19"/>
          <w:szCs w:val="19"/>
        </w:rPr>
        <w:t xml:space="preserve">Presenting Author </w:t>
      </w:r>
      <w:r w:rsidR="00CA7093" w:rsidRPr="00801E7F">
        <w:rPr>
          <w:rFonts w:ascii="ScalaLancetPro" w:hAnsi="ScalaLancetPro" w:cs="ScalaLancetPro"/>
          <w:bCs/>
          <w:color w:val="000000"/>
          <w:sz w:val="19"/>
          <w:szCs w:val="19"/>
        </w:rPr>
        <w:t>Hannah M Peterson</w:t>
      </w:r>
      <w:r w:rsidR="002843DC">
        <w:rPr>
          <w:rFonts w:ascii="ScalaLancetPro" w:hAnsi="ScalaLancetPro" w:cs="ScalaLancetPro"/>
          <w:bCs/>
          <w:color w:val="000000"/>
          <w:sz w:val="19"/>
          <w:szCs w:val="19"/>
        </w:rPr>
        <w:t>, poster presentation</w:t>
      </w:r>
      <w:bookmarkStart w:id="0" w:name="_GoBack"/>
      <w:bookmarkEnd w:id="0"/>
    </w:p>
    <w:sectPr w:rsidR="008B0AE2" w:rsidRPr="0080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aker 2 Lancet Regular">
    <w:altName w:val="Shaker 2 Lancet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calaLancetPro">
    <w:altName w:val="ScalaLancet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C87"/>
    <w:rsid w:val="000008BE"/>
    <w:rsid w:val="00001BA3"/>
    <w:rsid w:val="000A1AA6"/>
    <w:rsid w:val="00126C87"/>
    <w:rsid w:val="001B2C15"/>
    <w:rsid w:val="001C4D1E"/>
    <w:rsid w:val="00251DEF"/>
    <w:rsid w:val="002843DC"/>
    <w:rsid w:val="002F5D94"/>
    <w:rsid w:val="00334BAE"/>
    <w:rsid w:val="003B2C39"/>
    <w:rsid w:val="004D03BB"/>
    <w:rsid w:val="005D4C7A"/>
    <w:rsid w:val="00723E26"/>
    <w:rsid w:val="007C208E"/>
    <w:rsid w:val="00801E7F"/>
    <w:rsid w:val="00851D25"/>
    <w:rsid w:val="008B0AE2"/>
    <w:rsid w:val="00946F21"/>
    <w:rsid w:val="00AC149E"/>
    <w:rsid w:val="00AD7071"/>
    <w:rsid w:val="00AE1746"/>
    <w:rsid w:val="00BC4D1F"/>
    <w:rsid w:val="00BF6FB2"/>
    <w:rsid w:val="00CA7093"/>
    <w:rsid w:val="00ED7B91"/>
    <w:rsid w:val="00EE0785"/>
    <w:rsid w:val="00F8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1">
    <w:name w:val="Pa2+1"/>
    <w:basedOn w:val="Normal"/>
    <w:next w:val="Normal"/>
    <w:uiPriority w:val="99"/>
    <w:rsid w:val="008B0AE2"/>
    <w:pPr>
      <w:autoSpaceDE w:val="0"/>
      <w:autoSpaceDN w:val="0"/>
      <w:adjustRightInd w:val="0"/>
      <w:spacing w:line="360" w:lineRule="atLeast"/>
    </w:pPr>
    <w:rPr>
      <w:rFonts w:ascii="Shaker 2 Lancet Regular" w:hAnsi="Shaker 2 Lancet Regular"/>
      <w:sz w:val="24"/>
      <w:szCs w:val="24"/>
    </w:rPr>
  </w:style>
  <w:style w:type="paragraph" w:customStyle="1" w:styleId="Pa31">
    <w:name w:val="Pa3+1"/>
    <w:basedOn w:val="Normal"/>
    <w:next w:val="Normal"/>
    <w:uiPriority w:val="99"/>
    <w:rsid w:val="008B0AE2"/>
    <w:pPr>
      <w:autoSpaceDE w:val="0"/>
      <w:autoSpaceDN w:val="0"/>
      <w:adjustRightInd w:val="0"/>
      <w:spacing w:line="171" w:lineRule="atLeast"/>
    </w:pPr>
    <w:rPr>
      <w:rFonts w:ascii="Shaker 2 Lancet Regular" w:hAnsi="Shaker 2 Lancet Regular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8B0AE2"/>
    <w:pPr>
      <w:autoSpaceDE w:val="0"/>
      <w:autoSpaceDN w:val="0"/>
      <w:adjustRightInd w:val="0"/>
      <w:spacing w:line="220" w:lineRule="atLeast"/>
    </w:pPr>
    <w:rPr>
      <w:rFonts w:ascii="Shaker 2 Lancet Regular" w:hAnsi="Shaker 2 Lancet Regular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B0AE2"/>
    <w:pPr>
      <w:autoSpaceDE w:val="0"/>
      <w:autoSpaceDN w:val="0"/>
      <w:adjustRightInd w:val="0"/>
      <w:spacing w:line="180" w:lineRule="atLeast"/>
    </w:pPr>
    <w:rPr>
      <w:rFonts w:ascii="Shaker 2 Lancet Regular" w:hAnsi="Shaker 2 Lancet Regular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1">
    <w:name w:val="Pa2+1"/>
    <w:basedOn w:val="Normal"/>
    <w:next w:val="Normal"/>
    <w:uiPriority w:val="99"/>
    <w:rsid w:val="008B0AE2"/>
    <w:pPr>
      <w:autoSpaceDE w:val="0"/>
      <w:autoSpaceDN w:val="0"/>
      <w:adjustRightInd w:val="0"/>
      <w:spacing w:line="360" w:lineRule="atLeast"/>
    </w:pPr>
    <w:rPr>
      <w:rFonts w:ascii="Shaker 2 Lancet Regular" w:hAnsi="Shaker 2 Lancet Regular"/>
      <w:sz w:val="24"/>
      <w:szCs w:val="24"/>
    </w:rPr>
  </w:style>
  <w:style w:type="paragraph" w:customStyle="1" w:styleId="Pa31">
    <w:name w:val="Pa3+1"/>
    <w:basedOn w:val="Normal"/>
    <w:next w:val="Normal"/>
    <w:uiPriority w:val="99"/>
    <w:rsid w:val="008B0AE2"/>
    <w:pPr>
      <w:autoSpaceDE w:val="0"/>
      <w:autoSpaceDN w:val="0"/>
      <w:adjustRightInd w:val="0"/>
      <w:spacing w:line="171" w:lineRule="atLeast"/>
    </w:pPr>
    <w:rPr>
      <w:rFonts w:ascii="Shaker 2 Lancet Regular" w:hAnsi="Shaker 2 Lancet Regular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8B0AE2"/>
    <w:pPr>
      <w:autoSpaceDE w:val="0"/>
      <w:autoSpaceDN w:val="0"/>
      <w:adjustRightInd w:val="0"/>
      <w:spacing w:line="220" w:lineRule="atLeast"/>
    </w:pPr>
    <w:rPr>
      <w:rFonts w:ascii="Shaker 2 Lancet Regular" w:hAnsi="Shaker 2 Lancet Regular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B0AE2"/>
    <w:pPr>
      <w:autoSpaceDE w:val="0"/>
      <w:autoSpaceDN w:val="0"/>
      <w:adjustRightInd w:val="0"/>
      <w:spacing w:line="180" w:lineRule="atLeast"/>
    </w:pPr>
    <w:rPr>
      <w:rFonts w:ascii="Shaker 2 Lancet Regular" w:hAnsi="Shaker 2 Lancet Regula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</dc:creator>
  <cp:keywords/>
  <dc:description/>
  <cp:lastModifiedBy>Hannah</cp:lastModifiedBy>
  <cp:revision>24</cp:revision>
  <dcterms:created xsi:type="dcterms:W3CDTF">2013-02-01T18:08:00Z</dcterms:created>
  <dcterms:modified xsi:type="dcterms:W3CDTF">2013-02-05T21:03:00Z</dcterms:modified>
</cp:coreProperties>
</file>