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202F" w:rsidRPr="00862B72" w:rsidRDefault="0069202F" w:rsidP="008875AD">
      <w:pPr>
        <w:spacing w:line="360" w:lineRule="exact"/>
        <w:jc w:val="center"/>
        <w:rPr>
          <w:rFonts w:ascii="Times New Roman" w:eastAsia="標楷體" w:hAnsi="標楷體" w:cs="標楷體"/>
          <w:b/>
          <w:bCs/>
          <w:sz w:val="36"/>
          <w:szCs w:val="36"/>
        </w:rPr>
      </w:pPr>
      <w:bookmarkStart w:id="0" w:name="_GoBack"/>
      <w:bookmarkEnd w:id="0"/>
      <w:r w:rsidRPr="00862B72">
        <w:rPr>
          <w:rFonts w:ascii="Times New Roman" w:eastAsia="標楷體" w:hAnsi="標楷體" w:cs="標楷體" w:hint="eastAsia"/>
          <w:b/>
          <w:bCs/>
          <w:sz w:val="36"/>
          <w:szCs w:val="36"/>
        </w:rPr>
        <w:t>公務人員一般健康檢查實施要點</w:t>
      </w:r>
      <w:r w:rsidR="003B43DF">
        <w:rPr>
          <w:rFonts w:ascii="Times New Roman" w:eastAsia="標楷體" w:hAnsi="標楷體" w:cs="標楷體" w:hint="eastAsia"/>
          <w:b/>
          <w:bCs/>
          <w:sz w:val="36"/>
          <w:szCs w:val="36"/>
        </w:rPr>
        <w:t>逐點說明</w:t>
      </w:r>
    </w:p>
    <w:p w:rsidR="00003213" w:rsidRPr="00862B72" w:rsidRDefault="00003213" w:rsidP="004E11A1">
      <w:pPr>
        <w:spacing w:line="360" w:lineRule="exact"/>
        <w:ind w:right="220"/>
        <w:jc w:val="right"/>
        <w:rPr>
          <w:rFonts w:ascii="Times New Roman" w:eastAsia="標楷體" w:hAnsi="標楷體" w:cs="標楷體"/>
          <w:b/>
          <w:bCs/>
          <w:spacing w:val="40"/>
          <w:sz w:val="28"/>
          <w:szCs w:val="28"/>
        </w:rPr>
      </w:pPr>
    </w:p>
    <w:tbl>
      <w:tblPr>
        <w:tblW w:w="4922"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020" w:firstRow="1" w:lastRow="0" w:firstColumn="0" w:lastColumn="0" w:noHBand="0" w:noVBand="0"/>
      </w:tblPr>
      <w:tblGrid>
        <w:gridCol w:w="4852"/>
        <w:gridCol w:w="4848"/>
      </w:tblGrid>
      <w:tr w:rsidR="009A794E" w:rsidRPr="00862B72" w:rsidTr="009A794E">
        <w:trPr>
          <w:trHeight w:val="413"/>
          <w:tblHeader/>
        </w:trPr>
        <w:tc>
          <w:tcPr>
            <w:tcW w:w="2501" w:type="pct"/>
            <w:tcBorders>
              <w:bottom w:val="single" w:sz="18" w:space="0" w:color="9BBB59"/>
            </w:tcBorders>
            <w:vAlign w:val="center"/>
          </w:tcPr>
          <w:p w:rsidR="009A794E" w:rsidRPr="00862B72" w:rsidRDefault="009A794E" w:rsidP="009A794E">
            <w:pPr>
              <w:spacing w:line="400" w:lineRule="exact"/>
              <w:jc w:val="distribute"/>
              <w:rPr>
                <w:rFonts w:ascii="Times New Roman" w:eastAsia="標楷體" w:hAnsi="Times New Roman" w:cs="Times New Roman"/>
                <w:b/>
                <w:bCs/>
                <w:color w:val="000000"/>
                <w:sz w:val="28"/>
              </w:rPr>
            </w:pPr>
            <w:r>
              <w:rPr>
                <w:rFonts w:ascii="Times New Roman" w:eastAsia="標楷體" w:hAnsi="標楷體" w:cs="標楷體" w:hint="eastAsia"/>
                <w:b/>
                <w:bCs/>
                <w:color w:val="000000"/>
                <w:sz w:val="28"/>
              </w:rPr>
              <w:t>規定</w:t>
            </w:r>
          </w:p>
        </w:tc>
        <w:tc>
          <w:tcPr>
            <w:tcW w:w="2499" w:type="pct"/>
            <w:tcBorders>
              <w:bottom w:val="single" w:sz="18" w:space="0" w:color="9BBB59"/>
            </w:tcBorders>
            <w:vAlign w:val="center"/>
          </w:tcPr>
          <w:p w:rsidR="009A794E" w:rsidRPr="00862B72" w:rsidRDefault="009A794E" w:rsidP="009A794E">
            <w:pPr>
              <w:jc w:val="distribute"/>
              <w:rPr>
                <w:rFonts w:ascii="Times New Roman" w:eastAsia="標楷體" w:hAnsi="Times New Roman" w:cs="Times New Roman"/>
                <w:b/>
                <w:bCs/>
                <w:color w:val="000000"/>
                <w:sz w:val="28"/>
              </w:rPr>
            </w:pPr>
            <w:r w:rsidRPr="00862B72">
              <w:rPr>
                <w:rFonts w:ascii="Times New Roman" w:eastAsia="標楷體" w:hAnsi="標楷體" w:cs="標楷體" w:hint="eastAsia"/>
                <w:b/>
                <w:bCs/>
                <w:color w:val="000000"/>
                <w:sz w:val="28"/>
              </w:rPr>
              <w:t>說明</w:t>
            </w:r>
          </w:p>
        </w:tc>
      </w:tr>
      <w:tr w:rsidR="009A794E" w:rsidRPr="00862B72" w:rsidTr="009A794E">
        <w:trPr>
          <w:trHeight w:val="60"/>
        </w:trPr>
        <w:tc>
          <w:tcPr>
            <w:tcW w:w="2501" w:type="pct"/>
          </w:tcPr>
          <w:p w:rsidR="009A794E" w:rsidRPr="00862B72" w:rsidRDefault="009A794E" w:rsidP="007A35BD">
            <w:pPr>
              <w:ind w:left="475" w:hangingChars="198" w:hanging="475"/>
              <w:jc w:val="both"/>
              <w:rPr>
                <w:rFonts w:ascii="Times New Roman" w:eastAsia="標楷體" w:hAnsi="Times New Roman" w:cs="Times New Roman"/>
              </w:rPr>
            </w:pPr>
            <w:r w:rsidRPr="00862B72">
              <w:rPr>
                <w:rFonts w:ascii="Times New Roman" w:eastAsia="標楷體" w:hAnsi="標楷體" w:cs="標楷體" w:hint="eastAsia"/>
              </w:rPr>
              <w:t>一、為實施公務人員一般健康檢查，以維護公務人員身心健康，特依公務人員安全及衛生防護辦法（以下簡稱本辦法）第十九條第二項規定訂定本要點。</w:t>
            </w:r>
          </w:p>
        </w:tc>
        <w:tc>
          <w:tcPr>
            <w:tcW w:w="2499" w:type="pct"/>
          </w:tcPr>
          <w:p w:rsidR="009A794E" w:rsidRPr="00862B72" w:rsidRDefault="009A794E" w:rsidP="00345665">
            <w:pPr>
              <w:ind w:left="458" w:hangingChars="191" w:hanging="458"/>
              <w:jc w:val="both"/>
              <w:rPr>
                <w:rFonts w:ascii="Times New Roman" w:eastAsia="標楷體" w:hAnsi="Times New Roman" w:cs="Times New Roman"/>
              </w:rPr>
            </w:pPr>
            <w:r w:rsidRPr="00862B72">
              <w:rPr>
                <w:rFonts w:ascii="Times New Roman" w:eastAsia="標楷體" w:hAnsi="標楷體" w:cs="標楷體" w:hint="eastAsia"/>
              </w:rPr>
              <w:t>一、按公務人員安全及衛生防護辦法（以下簡稱本辦法）第十九條第二項規定︰「前項一般健康檢查之對象、項目、方法、危害安全及衛生顧慮之環境，由公務人員保障暨培訓委員會會同衛生、環保等相關機關認定之。」</w:t>
            </w:r>
          </w:p>
          <w:p w:rsidR="009A794E" w:rsidRPr="00862B72" w:rsidRDefault="009A794E" w:rsidP="00345665">
            <w:pPr>
              <w:ind w:left="480" w:hangingChars="200" w:hanging="480"/>
              <w:jc w:val="both"/>
              <w:rPr>
                <w:rFonts w:ascii="Times New Roman" w:eastAsia="標楷體" w:hAnsi="標楷體" w:cs="標楷體"/>
                <w:bCs/>
                <w:color w:val="000000"/>
                <w:kern w:val="0"/>
              </w:rPr>
            </w:pPr>
            <w:r w:rsidRPr="00862B72">
              <w:rPr>
                <w:rFonts w:ascii="Times New Roman" w:eastAsia="標楷體" w:hAnsi="標楷體" w:cs="標楷體" w:hint="eastAsia"/>
              </w:rPr>
              <w:t>二、明定本要點之訂定目的。</w:t>
            </w:r>
          </w:p>
        </w:tc>
      </w:tr>
      <w:tr w:rsidR="009A794E" w:rsidRPr="00862B72" w:rsidTr="009A794E">
        <w:trPr>
          <w:trHeight w:val="60"/>
        </w:trPr>
        <w:tc>
          <w:tcPr>
            <w:tcW w:w="2501" w:type="pct"/>
          </w:tcPr>
          <w:p w:rsidR="009A794E" w:rsidRPr="00862B72" w:rsidRDefault="009A794E" w:rsidP="007A35BD">
            <w:pPr>
              <w:ind w:left="475" w:hangingChars="198" w:hanging="475"/>
              <w:jc w:val="both"/>
              <w:rPr>
                <w:rFonts w:ascii="Times New Roman" w:eastAsia="標楷體" w:hAnsi="Times New Roman" w:cs="Times New Roman"/>
              </w:rPr>
            </w:pPr>
            <w:r w:rsidRPr="00862B72">
              <w:rPr>
                <w:rFonts w:ascii="Times New Roman" w:eastAsia="標楷體" w:hAnsi="標楷體" w:cs="標楷體" w:hint="eastAsia"/>
              </w:rPr>
              <w:t>二、一般健康檢查依本要點規定實施之。但各機關現有規定優於本要點者，從其規定。</w:t>
            </w:r>
          </w:p>
        </w:tc>
        <w:tc>
          <w:tcPr>
            <w:tcW w:w="2499" w:type="pct"/>
          </w:tcPr>
          <w:p w:rsidR="009A794E" w:rsidRPr="00827CA0" w:rsidRDefault="009A794E" w:rsidP="00DB6F78">
            <w:pPr>
              <w:jc w:val="both"/>
              <w:rPr>
                <w:rFonts w:ascii="Times New Roman" w:eastAsia="標楷體" w:hAnsi="標楷體" w:cs="標楷體"/>
                <w:bCs/>
                <w:color w:val="000000"/>
                <w:kern w:val="0"/>
              </w:rPr>
            </w:pPr>
            <w:r w:rsidRPr="00827CA0">
              <w:rPr>
                <w:rFonts w:ascii="Times New Roman" w:eastAsia="標楷體" w:hAnsi="標楷體" w:cs="標楷體" w:hint="eastAsia"/>
              </w:rPr>
              <w:t>按公務人員為國家推動政策之重要人力資源，各機關自得依其財政狀況，自行訂定加強保障所屬公務人員一般健康檢查之項目及次數等規定。爰</w:t>
            </w:r>
            <w:r w:rsidR="00DB6F78">
              <w:rPr>
                <w:rFonts w:ascii="Times New Roman" w:eastAsia="標楷體" w:hAnsi="標楷體" w:cs="標楷體" w:hint="eastAsia"/>
              </w:rPr>
              <w:t>參酌</w:t>
            </w:r>
            <w:r w:rsidRPr="00827CA0">
              <w:rPr>
                <w:rFonts w:ascii="Times New Roman" w:eastAsia="標楷體" w:hAnsi="標楷體" w:cs="標楷體" w:hint="eastAsia"/>
              </w:rPr>
              <w:t>現行</w:t>
            </w:r>
            <w:r w:rsidR="00827CA0" w:rsidRPr="00827CA0">
              <w:rPr>
                <w:rFonts w:ascii="Times New Roman" w:eastAsia="標楷體" w:hAnsi="標楷體" w:cs="標楷體" w:hint="eastAsia"/>
              </w:rPr>
              <w:t>公務人員一般健康檢查相關</w:t>
            </w:r>
            <w:r w:rsidRPr="00827CA0">
              <w:rPr>
                <w:rFonts w:ascii="Times New Roman" w:eastAsia="標楷體" w:hAnsi="標楷體" w:cs="標楷體" w:hint="eastAsia"/>
              </w:rPr>
              <w:t>規定，明定一般健康檢查依本要點實施之，但各機關現有規定優於本要點者，從其規定</w:t>
            </w:r>
            <w:r w:rsidR="00827CA0" w:rsidRPr="00827CA0">
              <w:rPr>
                <w:rFonts w:ascii="Times New Roman" w:eastAsia="標楷體" w:hAnsi="標楷體" w:cs="標楷體" w:hint="eastAsia"/>
              </w:rPr>
              <w:t>，俾兼顧各機關實施公務人員一般健康檢查之現況。</w:t>
            </w:r>
          </w:p>
        </w:tc>
      </w:tr>
      <w:tr w:rsidR="009A794E" w:rsidRPr="00862B72" w:rsidTr="009A794E">
        <w:trPr>
          <w:trHeight w:val="60"/>
        </w:trPr>
        <w:tc>
          <w:tcPr>
            <w:tcW w:w="2501" w:type="pct"/>
          </w:tcPr>
          <w:p w:rsidR="009A794E" w:rsidRPr="00862B72" w:rsidRDefault="009A794E" w:rsidP="007A35BD">
            <w:pPr>
              <w:ind w:left="475" w:hangingChars="198" w:hanging="475"/>
              <w:jc w:val="both"/>
              <w:rPr>
                <w:rFonts w:ascii="Times New Roman" w:eastAsia="標楷體" w:hAnsi="Times New Roman" w:cs="Times New Roman"/>
              </w:rPr>
            </w:pPr>
            <w:r w:rsidRPr="00862B72">
              <w:rPr>
                <w:rFonts w:ascii="Times New Roman" w:eastAsia="標楷體" w:hAnsi="標楷體" w:cs="標楷體" w:hint="eastAsia"/>
              </w:rPr>
              <w:t>三、一般健康檢查適用對象為本辦法第二條規定之人員，並依職務及年齡，區分如下︰</w:t>
            </w:r>
          </w:p>
          <w:p w:rsidR="00923EDF" w:rsidRPr="00923EDF" w:rsidRDefault="009A794E" w:rsidP="00B27560">
            <w:pPr>
              <w:pStyle w:val="a5"/>
              <w:numPr>
                <w:ilvl w:val="0"/>
                <w:numId w:val="9"/>
              </w:numPr>
              <w:ind w:leftChars="0" w:left="1134" w:hanging="708"/>
              <w:jc w:val="distribute"/>
              <w:rPr>
                <w:rFonts w:ascii="Times New Roman" w:eastAsia="標楷體" w:hAnsi="Times New Roman" w:cs="Times New Roman"/>
              </w:rPr>
            </w:pPr>
            <w:r w:rsidRPr="00923EDF">
              <w:rPr>
                <w:rFonts w:ascii="Times New Roman" w:eastAsia="標楷體" w:hAnsi="標楷體" w:cs="標楷體" w:hint="eastAsia"/>
              </w:rPr>
              <w:t>中央三級機關（構）以上正副首長、司處長或相當等級以上主管人員；直轄市、縣（市）一級機關首長或一級單位主管以上人員。</w:t>
            </w:r>
          </w:p>
          <w:p w:rsidR="00923EDF" w:rsidRPr="00923EDF" w:rsidRDefault="009A794E" w:rsidP="00B27560">
            <w:pPr>
              <w:pStyle w:val="a5"/>
              <w:numPr>
                <w:ilvl w:val="0"/>
                <w:numId w:val="9"/>
              </w:numPr>
              <w:ind w:leftChars="0" w:left="1134" w:hanging="708"/>
              <w:jc w:val="both"/>
              <w:rPr>
                <w:rFonts w:ascii="Times New Roman" w:eastAsia="標楷體" w:hAnsi="Times New Roman" w:cs="Times New Roman"/>
              </w:rPr>
            </w:pPr>
            <w:r w:rsidRPr="00923EDF">
              <w:rPr>
                <w:rFonts w:ascii="Times New Roman" w:eastAsia="標楷體" w:hAnsi="標楷體" w:cs="標楷體" w:hint="eastAsia"/>
              </w:rPr>
              <w:t>直轄市、縣（市）一級機關副首長或一級單位副主管、二級機關首長、各區區長。</w:t>
            </w:r>
          </w:p>
          <w:p w:rsidR="00923EDF" w:rsidRDefault="009A794E" w:rsidP="00B27560">
            <w:pPr>
              <w:pStyle w:val="a5"/>
              <w:numPr>
                <w:ilvl w:val="0"/>
                <w:numId w:val="9"/>
              </w:numPr>
              <w:ind w:leftChars="0" w:left="1134" w:hanging="708"/>
              <w:rPr>
                <w:rFonts w:ascii="Times New Roman" w:eastAsia="標楷體" w:hAnsi="標楷體" w:cs="標楷體"/>
              </w:rPr>
            </w:pPr>
            <w:r w:rsidRPr="00923EDF">
              <w:rPr>
                <w:rFonts w:ascii="Times New Roman" w:eastAsia="標楷體" w:hAnsi="標楷體" w:cs="標楷體" w:hint="eastAsia"/>
              </w:rPr>
              <w:t>前二款以外，適用本辦法之四十歲以上人員。</w:t>
            </w:r>
          </w:p>
          <w:p w:rsidR="009A794E" w:rsidRPr="00923EDF" w:rsidRDefault="009A794E" w:rsidP="00B27560">
            <w:pPr>
              <w:pStyle w:val="a5"/>
              <w:numPr>
                <w:ilvl w:val="0"/>
                <w:numId w:val="9"/>
              </w:numPr>
              <w:ind w:leftChars="0" w:left="1134" w:hanging="708"/>
              <w:jc w:val="both"/>
              <w:rPr>
                <w:rFonts w:ascii="Times New Roman" w:eastAsia="標楷體" w:hAnsi="標楷體" w:cs="標楷體"/>
              </w:rPr>
            </w:pPr>
            <w:r w:rsidRPr="00923EDF">
              <w:rPr>
                <w:rFonts w:ascii="Times New Roman" w:eastAsia="標楷體" w:hAnsi="標楷體" w:cs="標楷體" w:hint="eastAsia"/>
              </w:rPr>
              <w:t>第一款及第二款以外，適用本辦法，且從事重複性、輪班、夜間、長時間工作等有危害安全及衛生顧慮工作之未滿四十歲人員。</w:t>
            </w:r>
          </w:p>
          <w:p w:rsidR="009A794E" w:rsidRPr="00862B72" w:rsidRDefault="009A794E" w:rsidP="00923EDF">
            <w:pPr>
              <w:ind w:leftChars="192" w:left="461"/>
              <w:jc w:val="both"/>
              <w:rPr>
                <w:rFonts w:ascii="Times New Roman" w:eastAsia="標楷體" w:hAnsi="Times New Roman" w:cs="Times New Roman"/>
              </w:rPr>
            </w:pPr>
            <w:r w:rsidRPr="00862B72">
              <w:rPr>
                <w:rFonts w:ascii="Times New Roman" w:eastAsia="標楷體" w:hAnsi="標楷體" w:cs="標楷體" w:hint="eastAsia"/>
              </w:rPr>
              <w:t>前項第三款之四十歲以上人員，指前一年度十二月三十一日止滿四十歲者。</w:t>
            </w:r>
          </w:p>
        </w:tc>
        <w:tc>
          <w:tcPr>
            <w:tcW w:w="2499" w:type="pct"/>
          </w:tcPr>
          <w:p w:rsidR="009A794E" w:rsidRPr="00862B72" w:rsidRDefault="009A794E" w:rsidP="00B27560">
            <w:pPr>
              <w:pStyle w:val="a5"/>
              <w:numPr>
                <w:ilvl w:val="0"/>
                <w:numId w:val="8"/>
              </w:numPr>
              <w:ind w:leftChars="0" w:left="472" w:hanging="472"/>
              <w:jc w:val="both"/>
              <w:rPr>
                <w:rFonts w:ascii="Times New Roman" w:eastAsia="標楷體" w:hAnsi="標楷體" w:cs="標楷體"/>
              </w:rPr>
            </w:pPr>
            <w:r w:rsidRPr="00862B72">
              <w:rPr>
                <w:rFonts w:ascii="Times New Roman" w:eastAsia="標楷體" w:hAnsi="標楷體" w:cs="標楷體" w:hint="eastAsia"/>
              </w:rPr>
              <w:t>為增進全體公務人員健康，擴大健康檢查實施對象，保障其權益</w:t>
            </w:r>
            <w:r w:rsidR="00827CA0">
              <w:rPr>
                <w:rFonts w:ascii="Times New Roman" w:eastAsia="標楷體" w:hAnsi="標楷體" w:cs="標楷體" w:hint="eastAsia"/>
              </w:rPr>
              <w:t>。</w:t>
            </w:r>
            <w:r w:rsidRPr="00862B72">
              <w:rPr>
                <w:rFonts w:ascii="Times New Roman" w:eastAsia="標楷體" w:hAnsi="標楷體" w:cs="標楷體" w:hint="eastAsia"/>
              </w:rPr>
              <w:t>爰於第一項明定本要點之適用對象，並依職務、年齡及工作性質，區分為四類人員，俾利醫療資源之妥適運用，以及減輕國家財政之負擔。</w:t>
            </w:r>
          </w:p>
          <w:p w:rsidR="00A83FCF" w:rsidRPr="00A83FCF" w:rsidRDefault="009A794E" w:rsidP="00B27560">
            <w:pPr>
              <w:pStyle w:val="a5"/>
              <w:numPr>
                <w:ilvl w:val="0"/>
                <w:numId w:val="8"/>
              </w:numPr>
              <w:ind w:leftChars="0" w:left="458" w:hangingChars="191" w:hanging="458"/>
              <w:jc w:val="both"/>
              <w:rPr>
                <w:rFonts w:ascii="Times New Roman" w:eastAsia="標楷體" w:hAnsi="Times New Roman" w:cs="Times New Roman"/>
              </w:rPr>
            </w:pPr>
            <w:r w:rsidRPr="00A83FCF">
              <w:rPr>
                <w:rFonts w:ascii="Times New Roman" w:eastAsia="標楷體" w:hAnsi="標楷體" w:cs="標楷體" w:hint="eastAsia"/>
              </w:rPr>
              <w:t>第一項第一款及第二款所稱直轄市、縣（市）人員，除直轄市政府、縣（市）政府</w:t>
            </w:r>
            <w:r w:rsidR="00827CA0" w:rsidRPr="00A83FCF">
              <w:rPr>
                <w:rFonts w:ascii="Times New Roman" w:eastAsia="標楷體" w:hAnsi="標楷體" w:cs="標楷體" w:hint="eastAsia"/>
              </w:rPr>
              <w:t>之</w:t>
            </w:r>
            <w:r w:rsidRPr="00A83FCF">
              <w:rPr>
                <w:rFonts w:ascii="Times New Roman" w:eastAsia="標楷體" w:hAnsi="標楷體" w:cs="標楷體" w:hint="eastAsia"/>
              </w:rPr>
              <w:t>公務人員外，尚包括直轄市議會、縣（市）議會之公務人員。</w:t>
            </w:r>
          </w:p>
          <w:p w:rsidR="009A794E" w:rsidRPr="00A83FCF" w:rsidRDefault="009A794E" w:rsidP="00B27560">
            <w:pPr>
              <w:pStyle w:val="a5"/>
              <w:numPr>
                <w:ilvl w:val="0"/>
                <w:numId w:val="8"/>
              </w:numPr>
              <w:ind w:leftChars="0" w:left="458" w:hangingChars="191" w:hanging="458"/>
              <w:jc w:val="both"/>
              <w:rPr>
                <w:rFonts w:ascii="Times New Roman" w:eastAsia="標楷體" w:hAnsi="Times New Roman" w:cs="Times New Roman"/>
              </w:rPr>
            </w:pPr>
            <w:r w:rsidRPr="00A83FCF">
              <w:rPr>
                <w:rFonts w:ascii="Times New Roman" w:eastAsia="標楷體" w:hAnsi="Times New Roman" w:cs="Times New Roman" w:hint="eastAsia"/>
              </w:rPr>
              <w:t>鑑於從事有危害安全及衛生顧慮工作之未滿四十歲人員，</w:t>
            </w:r>
            <w:r w:rsidR="00827CA0" w:rsidRPr="00A83FCF">
              <w:rPr>
                <w:rFonts w:ascii="Times New Roman" w:eastAsia="標楷體" w:hAnsi="Times New Roman" w:cs="Times New Roman" w:hint="eastAsia"/>
              </w:rPr>
              <w:t>其</w:t>
            </w:r>
            <w:r w:rsidRPr="00A83FCF">
              <w:rPr>
                <w:rFonts w:ascii="Times New Roman" w:eastAsia="標楷體" w:hAnsi="Times New Roman" w:cs="Times New Roman" w:hint="eastAsia"/>
              </w:rPr>
              <w:t>健康受危害之風險</w:t>
            </w:r>
            <w:r w:rsidR="00827CA0" w:rsidRPr="00A83FCF">
              <w:rPr>
                <w:rFonts w:ascii="Times New Roman" w:eastAsia="標楷體" w:hAnsi="Times New Roman" w:cs="Times New Roman" w:hint="eastAsia"/>
              </w:rPr>
              <w:t>程度</w:t>
            </w:r>
            <w:r w:rsidRPr="00A83FCF">
              <w:rPr>
                <w:rFonts w:ascii="Times New Roman" w:eastAsia="標楷體" w:hAnsi="Times New Roman" w:cs="Times New Roman" w:hint="eastAsia"/>
              </w:rPr>
              <w:t>相對</w:t>
            </w:r>
            <w:r w:rsidR="00827CA0" w:rsidRPr="00A83FCF">
              <w:rPr>
                <w:rFonts w:ascii="Times New Roman" w:eastAsia="標楷體" w:hAnsi="Times New Roman" w:cs="Times New Roman" w:hint="eastAsia"/>
              </w:rPr>
              <w:t>較</w:t>
            </w:r>
            <w:r w:rsidRPr="00A83FCF">
              <w:rPr>
                <w:rFonts w:ascii="Times New Roman" w:eastAsia="標楷體" w:hAnsi="Times New Roman" w:cs="Times New Roman" w:hint="eastAsia"/>
              </w:rPr>
              <w:t>高</w:t>
            </w:r>
            <w:r w:rsidR="00827CA0" w:rsidRPr="00A83FCF">
              <w:rPr>
                <w:rFonts w:ascii="Times New Roman" w:eastAsia="標楷體" w:hAnsi="Times New Roman" w:cs="Times New Roman" w:hint="eastAsia"/>
              </w:rPr>
              <w:t>，有必要予以納入一般健康檢查之適用對象；同時，亦應考量國家財政負擔，限縮其實施範圍</w:t>
            </w:r>
            <w:r w:rsidR="00923EDF" w:rsidRPr="00A83FCF">
              <w:rPr>
                <w:rFonts w:ascii="Times New Roman" w:eastAsia="標楷體" w:hAnsi="Times New Roman" w:cs="Times New Roman" w:hint="eastAsia"/>
              </w:rPr>
              <w:t>。</w:t>
            </w:r>
            <w:r w:rsidR="00827CA0" w:rsidRPr="00A83FCF">
              <w:rPr>
                <w:rFonts w:ascii="Times New Roman" w:eastAsia="標楷體" w:hAnsi="Times New Roman" w:cs="Times New Roman" w:hint="eastAsia"/>
              </w:rPr>
              <w:t>爰於第一項第四款明定</w:t>
            </w:r>
            <w:r w:rsidRPr="00A83FCF">
              <w:rPr>
                <w:rFonts w:ascii="Times New Roman" w:eastAsia="標楷體" w:hAnsi="Times New Roman" w:cs="Times New Roman" w:hint="eastAsia"/>
              </w:rPr>
              <w:t>從事重複性、輪班、夜間、長時間工作等有危害安全及衛生顧慮工作之未滿四十歲人員，為一般健康檢查之適用對象。</w:t>
            </w:r>
          </w:p>
          <w:p w:rsidR="009A794E" w:rsidRPr="00862B72" w:rsidRDefault="009A794E" w:rsidP="00B27560">
            <w:pPr>
              <w:pStyle w:val="a5"/>
              <w:numPr>
                <w:ilvl w:val="0"/>
                <w:numId w:val="8"/>
              </w:numPr>
              <w:ind w:leftChars="0" w:left="458" w:hangingChars="191" w:hanging="458"/>
              <w:jc w:val="both"/>
              <w:rPr>
                <w:rFonts w:ascii="Times New Roman" w:eastAsia="標楷體" w:hAnsi="Times New Roman" w:cs="Times New Roman"/>
              </w:rPr>
            </w:pPr>
            <w:r w:rsidRPr="00862B72">
              <w:rPr>
                <w:rFonts w:ascii="Times New Roman" w:eastAsia="標楷體" w:hAnsi="Times New Roman" w:cs="Times New Roman" w:hint="eastAsia"/>
              </w:rPr>
              <w:lastRenderedPageBreak/>
              <w:t>為利各機關預算</w:t>
            </w:r>
            <w:r w:rsidR="00827CA0">
              <w:rPr>
                <w:rFonts w:ascii="Times New Roman" w:eastAsia="標楷體" w:hAnsi="Times New Roman" w:cs="Times New Roman" w:hint="eastAsia"/>
              </w:rPr>
              <w:t>之</w:t>
            </w:r>
            <w:r w:rsidRPr="00862B72">
              <w:rPr>
                <w:rFonts w:ascii="Times New Roman" w:eastAsia="標楷體" w:hAnsi="Times New Roman" w:cs="Times New Roman" w:hint="eastAsia"/>
              </w:rPr>
              <w:t>編列與執行，並避免</w:t>
            </w:r>
            <w:r w:rsidR="00DB6F78">
              <w:rPr>
                <w:rFonts w:ascii="Times New Roman" w:eastAsia="標楷體" w:hAnsi="Times New Roman" w:cs="Times New Roman" w:hint="eastAsia"/>
              </w:rPr>
              <w:t>發</w:t>
            </w:r>
            <w:r w:rsidRPr="00862B72">
              <w:rPr>
                <w:rFonts w:ascii="Times New Roman" w:eastAsia="標楷體" w:hAnsi="Times New Roman" w:cs="Times New Roman" w:hint="eastAsia"/>
              </w:rPr>
              <w:t>生四十歲</w:t>
            </w:r>
            <w:r w:rsidR="00827CA0">
              <w:rPr>
                <w:rFonts w:ascii="Times New Roman" w:eastAsia="標楷體" w:hAnsi="Times New Roman" w:cs="Times New Roman" w:hint="eastAsia"/>
              </w:rPr>
              <w:t>應如何認定之疑義，爰於第二項明定</w:t>
            </w:r>
            <w:r w:rsidRPr="00862B72">
              <w:rPr>
                <w:rFonts w:ascii="Times New Roman" w:eastAsia="標楷體" w:hAnsi="標楷體" w:cs="標楷體" w:hint="eastAsia"/>
              </w:rPr>
              <w:t>四十歲以上人員，指前一年度十二月三十一日止</w:t>
            </w:r>
            <w:r w:rsidR="00827CA0">
              <w:rPr>
                <w:rFonts w:ascii="Times New Roman" w:eastAsia="標楷體" w:hAnsi="標楷體" w:cs="標楷體" w:hint="eastAsia"/>
              </w:rPr>
              <w:t>，年</w:t>
            </w:r>
            <w:r w:rsidRPr="00862B72">
              <w:rPr>
                <w:rFonts w:ascii="Times New Roman" w:eastAsia="標楷體" w:hAnsi="標楷體" w:cs="標楷體" w:hint="eastAsia"/>
              </w:rPr>
              <w:t>滿四十歲</w:t>
            </w:r>
            <w:r w:rsidR="00827CA0">
              <w:rPr>
                <w:rFonts w:ascii="Times New Roman" w:eastAsia="標楷體" w:hAnsi="標楷體" w:cs="標楷體" w:hint="eastAsia"/>
              </w:rPr>
              <w:t>之公務人員</w:t>
            </w:r>
            <w:r w:rsidRPr="00862B72">
              <w:rPr>
                <w:rFonts w:ascii="Times New Roman" w:eastAsia="標楷體" w:hAnsi="標楷體" w:cs="標楷體" w:hint="eastAsia"/>
              </w:rPr>
              <w:t>。</w:t>
            </w:r>
          </w:p>
          <w:p w:rsidR="009A794E" w:rsidRPr="00862B72" w:rsidRDefault="009A794E" w:rsidP="008E2BE2">
            <w:pPr>
              <w:ind w:left="458" w:hangingChars="191" w:hanging="458"/>
              <w:jc w:val="both"/>
              <w:rPr>
                <w:rFonts w:ascii="Times New Roman" w:eastAsia="標楷體" w:hAnsi="Times New Roman" w:cs="Times New Roman"/>
              </w:rPr>
            </w:pPr>
            <w:r w:rsidRPr="00862B72">
              <w:rPr>
                <w:rFonts w:ascii="Times New Roman" w:eastAsia="標楷體" w:hAnsi="標楷體" w:cs="標楷體" w:hint="eastAsia"/>
              </w:rPr>
              <w:t>五、相關規定︰</w:t>
            </w:r>
          </w:p>
          <w:p w:rsidR="009A794E" w:rsidRPr="00862B72" w:rsidRDefault="009A794E" w:rsidP="00F16818">
            <w:pPr>
              <w:ind w:leftChars="200" w:left="480"/>
              <w:jc w:val="both"/>
              <w:rPr>
                <w:rFonts w:ascii="Times New Roman" w:eastAsia="標楷體" w:hAnsi="標楷體" w:cs="標楷體"/>
                <w:bCs/>
                <w:color w:val="000000"/>
                <w:kern w:val="0"/>
              </w:rPr>
            </w:pPr>
            <w:r w:rsidRPr="00862B72">
              <w:rPr>
                <w:rFonts w:ascii="Times New Roman" w:eastAsia="標楷體" w:hAnsi="標楷體" w:cs="標楷體" w:hint="eastAsia"/>
              </w:rPr>
              <w:t>職業安全衛生法第二十條第一項規定︰「雇主於僱用勞工時，應施行體格檢查；對在職勞工應施行下列健康檢查：一、一般健康檢查。二、從事特別危害健康作業者之特殊健康檢查。三、經中央主管機關指定為特定對象及特定項目之健康檢查。」</w:t>
            </w:r>
          </w:p>
        </w:tc>
      </w:tr>
      <w:tr w:rsidR="009A794E" w:rsidRPr="00862B72" w:rsidTr="009A794E">
        <w:trPr>
          <w:trHeight w:val="60"/>
        </w:trPr>
        <w:tc>
          <w:tcPr>
            <w:tcW w:w="2501" w:type="pct"/>
          </w:tcPr>
          <w:p w:rsidR="009A794E" w:rsidRPr="00862B72" w:rsidRDefault="009A794E" w:rsidP="00DB6F78">
            <w:pPr>
              <w:ind w:left="475" w:hangingChars="198" w:hanging="475"/>
              <w:jc w:val="both"/>
              <w:rPr>
                <w:rFonts w:ascii="Times New Roman" w:eastAsia="標楷體" w:hAnsi="Times New Roman" w:cs="Times New Roman"/>
              </w:rPr>
            </w:pPr>
            <w:r w:rsidRPr="00862B72">
              <w:rPr>
                <w:rFonts w:ascii="Times New Roman" w:eastAsia="標楷體" w:hAnsi="標楷體" w:cs="標楷體" w:hint="eastAsia"/>
              </w:rPr>
              <w:lastRenderedPageBreak/>
              <w:t>四、一般健康檢查之檢查項目，各機關得按適用對象之性別、職務或年齡，並參考附表訂定之。</w:t>
            </w:r>
          </w:p>
          <w:p w:rsidR="009A794E" w:rsidRPr="00862B72" w:rsidRDefault="009A794E" w:rsidP="00C87378">
            <w:pPr>
              <w:ind w:leftChars="24" w:left="418" w:hangingChars="150" w:hanging="360"/>
              <w:jc w:val="both"/>
              <w:rPr>
                <w:rFonts w:ascii="Times New Roman" w:eastAsia="標楷體" w:hAnsi="Times New Roman" w:cs="Times New Roman"/>
              </w:rPr>
            </w:pPr>
            <w:r w:rsidRPr="00862B72">
              <w:rPr>
                <w:rFonts w:ascii="Times New Roman" w:eastAsia="標楷體" w:hAnsi="Times New Roman" w:cs="Times New Roman"/>
              </w:rPr>
              <w:t xml:space="preserve">   </w:t>
            </w:r>
            <w:r w:rsidRPr="00862B72">
              <w:rPr>
                <w:rFonts w:ascii="Times New Roman" w:eastAsia="標楷體" w:hAnsi="標楷體" w:cs="標楷體" w:hint="eastAsia"/>
              </w:rPr>
              <w:t>一般健康檢查之實施次數，依下列規定︰</w:t>
            </w:r>
          </w:p>
          <w:p w:rsidR="009A794E" w:rsidRPr="00862B72" w:rsidRDefault="009A794E" w:rsidP="00B27560">
            <w:pPr>
              <w:pStyle w:val="a5"/>
              <w:numPr>
                <w:ilvl w:val="0"/>
                <w:numId w:val="10"/>
              </w:numPr>
              <w:ind w:leftChars="0" w:left="1134" w:hanging="708"/>
              <w:jc w:val="both"/>
              <w:rPr>
                <w:rFonts w:ascii="Times New Roman" w:eastAsia="標楷體" w:hAnsi="Times New Roman" w:cs="Times New Roman"/>
              </w:rPr>
            </w:pPr>
            <w:r w:rsidRPr="00862B72">
              <w:rPr>
                <w:rFonts w:ascii="Times New Roman" w:eastAsia="標楷體" w:hAnsi="標楷體" w:cs="標楷體" w:hint="eastAsia"/>
              </w:rPr>
              <w:t>前點第一項第一款人員︰每年實施一次。</w:t>
            </w:r>
          </w:p>
          <w:p w:rsidR="009A794E" w:rsidRPr="00862B72" w:rsidRDefault="009A794E" w:rsidP="00B27560">
            <w:pPr>
              <w:pStyle w:val="a5"/>
              <w:numPr>
                <w:ilvl w:val="0"/>
                <w:numId w:val="10"/>
              </w:numPr>
              <w:ind w:leftChars="0" w:left="1134" w:hanging="708"/>
              <w:jc w:val="both"/>
              <w:rPr>
                <w:rFonts w:ascii="Times New Roman" w:eastAsia="標楷體" w:hAnsi="Times New Roman" w:cs="Times New Roman"/>
              </w:rPr>
            </w:pPr>
            <w:r w:rsidRPr="00862B72">
              <w:rPr>
                <w:rFonts w:ascii="Times New Roman" w:eastAsia="標楷體" w:hAnsi="標楷體" w:cs="標楷體" w:hint="eastAsia"/>
              </w:rPr>
              <w:t>前點第一項第二款及第三款人員︰每二年實施一次。</w:t>
            </w:r>
          </w:p>
          <w:p w:rsidR="009A794E" w:rsidRPr="00862B72" w:rsidRDefault="009A794E" w:rsidP="00B27560">
            <w:pPr>
              <w:pStyle w:val="a5"/>
              <w:numPr>
                <w:ilvl w:val="0"/>
                <w:numId w:val="10"/>
              </w:numPr>
              <w:ind w:leftChars="0" w:left="1134" w:hanging="708"/>
              <w:jc w:val="both"/>
              <w:rPr>
                <w:rFonts w:ascii="Times New Roman" w:eastAsia="標楷體" w:hAnsi="標楷體" w:cs="標楷體"/>
              </w:rPr>
            </w:pPr>
            <w:r w:rsidRPr="00862B72">
              <w:rPr>
                <w:rFonts w:ascii="Times New Roman" w:eastAsia="標楷體" w:hAnsi="標楷體" w:cs="標楷體" w:hint="eastAsia"/>
              </w:rPr>
              <w:t>前點第一項第四款人員︰每三年實施一次。</w:t>
            </w:r>
          </w:p>
          <w:p w:rsidR="009A794E" w:rsidRPr="00862B72" w:rsidRDefault="009A794E" w:rsidP="00DB6F78">
            <w:pPr>
              <w:ind w:leftChars="192" w:left="461"/>
              <w:jc w:val="both"/>
              <w:rPr>
                <w:rFonts w:ascii="Times New Roman" w:eastAsia="標楷體" w:hAnsi="標楷體" w:cs="標楷體"/>
              </w:rPr>
            </w:pPr>
            <w:r w:rsidRPr="00862B72">
              <w:rPr>
                <w:rFonts w:ascii="Times New Roman" w:eastAsia="標楷體" w:hAnsi="標楷體" w:cs="標楷體" w:hint="eastAsia"/>
              </w:rPr>
              <w:t>前點第一項第四款人員，必要時，得增加一般健康檢查之檢查項目。</w:t>
            </w:r>
          </w:p>
          <w:p w:rsidR="009A794E" w:rsidRPr="00862B72" w:rsidRDefault="009A794E" w:rsidP="00DB6F78">
            <w:pPr>
              <w:ind w:leftChars="192" w:left="461"/>
              <w:jc w:val="both"/>
              <w:rPr>
                <w:rFonts w:ascii="Times New Roman" w:eastAsia="標楷體" w:hAnsi="Times New Roman" w:cs="Times New Roman"/>
              </w:rPr>
            </w:pPr>
            <w:r w:rsidRPr="00862B72">
              <w:rPr>
                <w:rFonts w:ascii="Times New Roman" w:eastAsia="標楷體" w:hAnsi="標楷體" w:cs="標楷體" w:hint="eastAsia"/>
              </w:rPr>
              <w:t>各機關辦理一般健康檢查時，得配合成人預防保健服務辦理之。</w:t>
            </w:r>
          </w:p>
        </w:tc>
        <w:tc>
          <w:tcPr>
            <w:tcW w:w="2499" w:type="pct"/>
          </w:tcPr>
          <w:p w:rsidR="009A794E" w:rsidRPr="00862B72" w:rsidRDefault="009A794E" w:rsidP="00B27560">
            <w:pPr>
              <w:pStyle w:val="a5"/>
              <w:numPr>
                <w:ilvl w:val="0"/>
                <w:numId w:val="6"/>
              </w:numPr>
              <w:spacing w:line="360" w:lineRule="exact"/>
              <w:ind w:leftChars="0"/>
              <w:jc w:val="both"/>
              <w:rPr>
                <w:rFonts w:ascii="Times New Roman" w:eastAsia="標楷體" w:hAnsi="標楷體" w:cs="標楷體"/>
                <w:bCs/>
                <w:color w:val="000000"/>
                <w:kern w:val="0"/>
              </w:rPr>
            </w:pPr>
            <w:r w:rsidRPr="00862B72">
              <w:rPr>
                <w:rFonts w:ascii="Times New Roman" w:eastAsia="標楷體" w:hAnsi="標楷體" w:cs="標楷體" w:hint="eastAsia"/>
                <w:bCs/>
                <w:color w:val="000000"/>
                <w:kern w:val="0"/>
              </w:rPr>
              <w:t>配合第三點</w:t>
            </w:r>
            <w:r w:rsidR="00827CA0">
              <w:rPr>
                <w:rFonts w:ascii="Times New Roman" w:eastAsia="標楷體" w:hAnsi="標楷體" w:cs="標楷體" w:hint="eastAsia"/>
                <w:bCs/>
                <w:color w:val="000000"/>
                <w:kern w:val="0"/>
              </w:rPr>
              <w:t>第一項</w:t>
            </w:r>
            <w:r w:rsidRPr="00862B72">
              <w:rPr>
                <w:rFonts w:ascii="Times New Roman" w:eastAsia="標楷體" w:hAnsi="標楷體" w:cs="標楷體" w:hint="eastAsia"/>
                <w:bCs/>
                <w:color w:val="000000"/>
                <w:kern w:val="0"/>
              </w:rPr>
              <w:t>關於一般健康檢查之適用對象，依職務、年齡及工作性質區分為四類</w:t>
            </w:r>
            <w:r w:rsidR="00827CA0">
              <w:rPr>
                <w:rFonts w:ascii="Times New Roman" w:eastAsia="標楷體" w:hAnsi="標楷體" w:cs="標楷體" w:hint="eastAsia"/>
                <w:bCs/>
                <w:color w:val="000000"/>
                <w:kern w:val="0"/>
              </w:rPr>
              <w:t>之規定</w:t>
            </w:r>
            <w:r w:rsidRPr="00862B72">
              <w:rPr>
                <w:rFonts w:ascii="Times New Roman" w:eastAsia="標楷體" w:hAnsi="標楷體" w:cs="標楷體" w:hint="eastAsia"/>
                <w:bCs/>
                <w:color w:val="000000"/>
                <w:kern w:val="0"/>
              </w:rPr>
              <w:t>，並參酌衛生福利部訂定之「醫事服務機構辦理預防保健服務注意事項」之成人預防保健「健康加值」方案，及勞工健康保護規則第十一條、第十二條規定，均依年齡而定</w:t>
            </w:r>
            <w:r w:rsidR="00827CA0">
              <w:rPr>
                <w:rFonts w:ascii="Times New Roman" w:eastAsia="標楷體" w:hAnsi="標楷體" w:cs="標楷體" w:hint="eastAsia"/>
                <w:bCs/>
                <w:color w:val="000000"/>
                <w:kern w:val="0"/>
              </w:rPr>
              <w:t>有</w:t>
            </w:r>
            <w:r w:rsidRPr="00862B72">
              <w:rPr>
                <w:rFonts w:ascii="Times New Roman" w:eastAsia="標楷體" w:hAnsi="標楷體" w:cs="標楷體" w:hint="eastAsia"/>
                <w:bCs/>
                <w:color w:val="000000"/>
                <w:kern w:val="0"/>
              </w:rPr>
              <w:t>不同之檢查項目。</w:t>
            </w:r>
            <w:r w:rsidR="00827CA0">
              <w:rPr>
                <w:rFonts w:ascii="Times New Roman" w:eastAsia="標楷體" w:hAnsi="標楷體" w:cs="標楷體" w:hint="eastAsia"/>
                <w:bCs/>
                <w:color w:val="000000"/>
                <w:kern w:val="0"/>
              </w:rPr>
              <w:t>同時</w:t>
            </w:r>
            <w:r w:rsidRPr="00862B72">
              <w:rPr>
                <w:rFonts w:ascii="Times New Roman" w:eastAsia="標楷體" w:hAnsi="標楷體" w:cs="標楷體" w:hint="eastAsia"/>
                <w:bCs/>
                <w:color w:val="000000"/>
                <w:kern w:val="0"/>
              </w:rPr>
              <w:t>考量各機關財政狀況</w:t>
            </w:r>
            <w:r w:rsidR="00827CA0">
              <w:rPr>
                <w:rFonts w:ascii="Times New Roman" w:eastAsia="標楷體" w:hAnsi="標楷體" w:cs="標楷體" w:hint="eastAsia"/>
                <w:bCs/>
                <w:color w:val="000000"/>
                <w:kern w:val="0"/>
              </w:rPr>
              <w:t>。爰</w:t>
            </w:r>
            <w:r w:rsidRPr="00862B72">
              <w:rPr>
                <w:rFonts w:ascii="Times New Roman" w:eastAsia="標楷體" w:hAnsi="標楷體" w:cs="標楷體" w:hint="eastAsia"/>
                <w:bCs/>
                <w:color w:val="000000"/>
                <w:kern w:val="0"/>
              </w:rPr>
              <w:t>於第一項明定一般健康檢查之檢查項目，各機關得按適用對象之性別、職務或年齡，並參考附表訂定之。</w:t>
            </w:r>
          </w:p>
          <w:p w:rsidR="009A794E" w:rsidRPr="00862B72" w:rsidRDefault="009A794E" w:rsidP="00B27560">
            <w:pPr>
              <w:pStyle w:val="a5"/>
              <w:numPr>
                <w:ilvl w:val="0"/>
                <w:numId w:val="6"/>
              </w:numPr>
              <w:adjustRightInd w:val="0"/>
              <w:spacing w:line="360" w:lineRule="exact"/>
              <w:ind w:leftChars="0"/>
              <w:jc w:val="both"/>
              <w:rPr>
                <w:rFonts w:ascii="Times New Roman" w:eastAsia="標楷體" w:hAnsi="標楷體" w:cs="標楷體"/>
                <w:bCs/>
                <w:color w:val="000000"/>
                <w:kern w:val="0"/>
              </w:rPr>
            </w:pPr>
            <w:r w:rsidRPr="00862B72">
              <w:rPr>
                <w:rFonts w:ascii="Times New Roman" w:eastAsia="標楷體" w:hAnsi="標楷體" w:cs="標楷體" w:hint="eastAsia"/>
                <w:bCs/>
                <w:color w:val="000000"/>
                <w:kern w:val="0"/>
              </w:rPr>
              <w:t>考量國家財政負擔、各類職務人員</w:t>
            </w:r>
            <w:r w:rsidR="00827CA0">
              <w:rPr>
                <w:rFonts w:ascii="Times New Roman" w:eastAsia="標楷體" w:hAnsi="標楷體" w:cs="標楷體" w:hint="eastAsia"/>
                <w:bCs/>
                <w:color w:val="000000"/>
                <w:kern w:val="0"/>
              </w:rPr>
              <w:t>之年齡、個人體質</w:t>
            </w:r>
            <w:r w:rsidR="00923EDF">
              <w:rPr>
                <w:rFonts w:ascii="Times New Roman" w:eastAsia="標楷體" w:hAnsi="標楷體" w:cs="標楷體" w:hint="eastAsia"/>
                <w:bCs/>
                <w:color w:val="000000"/>
                <w:kern w:val="0"/>
              </w:rPr>
              <w:t>、</w:t>
            </w:r>
            <w:r w:rsidRPr="00862B72">
              <w:rPr>
                <w:rFonts w:ascii="Times New Roman" w:eastAsia="標楷體" w:hAnsi="標楷體" w:cs="標楷體" w:hint="eastAsia"/>
                <w:bCs/>
                <w:color w:val="000000"/>
                <w:kern w:val="0"/>
              </w:rPr>
              <w:t>所擔負工作</w:t>
            </w:r>
            <w:r w:rsidR="00827CA0">
              <w:rPr>
                <w:rFonts w:ascii="Times New Roman" w:eastAsia="標楷體" w:hAnsi="標楷體" w:cs="標楷體" w:hint="eastAsia"/>
                <w:bCs/>
                <w:color w:val="000000"/>
                <w:kern w:val="0"/>
              </w:rPr>
              <w:t>之</w:t>
            </w:r>
            <w:r w:rsidRPr="00862B72">
              <w:rPr>
                <w:rFonts w:ascii="Times New Roman" w:eastAsia="標楷體" w:hAnsi="標楷體" w:cs="標楷體" w:hint="eastAsia"/>
                <w:bCs/>
                <w:color w:val="000000"/>
                <w:kern w:val="0"/>
              </w:rPr>
              <w:t>職責程度及</w:t>
            </w:r>
            <w:r w:rsidR="00827CA0">
              <w:rPr>
                <w:rFonts w:ascii="Times New Roman" w:eastAsia="標楷體" w:hAnsi="標楷體" w:cs="標楷體" w:hint="eastAsia"/>
                <w:bCs/>
                <w:color w:val="000000"/>
                <w:kern w:val="0"/>
              </w:rPr>
              <w:t>其</w:t>
            </w:r>
            <w:r w:rsidRPr="00862B72">
              <w:rPr>
                <w:rFonts w:ascii="Times New Roman" w:eastAsia="標楷體" w:hAnsi="標楷體" w:cs="標楷體" w:hint="eastAsia"/>
                <w:bCs/>
                <w:color w:val="000000"/>
                <w:kern w:val="0"/>
              </w:rPr>
              <w:t>危害性差異</w:t>
            </w:r>
            <w:r w:rsidR="00DB6F78">
              <w:rPr>
                <w:rFonts w:ascii="Times New Roman" w:eastAsia="標楷體" w:hAnsi="標楷體" w:cs="標楷體" w:hint="eastAsia"/>
                <w:bCs/>
                <w:color w:val="000000"/>
                <w:kern w:val="0"/>
              </w:rPr>
              <w:t>等</w:t>
            </w:r>
            <w:r w:rsidRPr="00862B72">
              <w:rPr>
                <w:rFonts w:ascii="Times New Roman" w:eastAsia="標楷體" w:hAnsi="標楷體" w:cs="標楷體" w:hint="eastAsia"/>
                <w:bCs/>
                <w:color w:val="000000"/>
                <w:kern w:val="0"/>
              </w:rPr>
              <w:t>因素，於第二項明定第三點第一項所定四類人員實施健康檢查之年限及次數。</w:t>
            </w:r>
            <w:r w:rsidR="00176E31" w:rsidRPr="00176E31">
              <w:rPr>
                <w:rFonts w:ascii="Times New Roman" w:eastAsia="標楷體" w:hAnsi="標楷體" w:cs="標楷體" w:hint="eastAsia"/>
                <w:bCs/>
                <w:color w:val="000000"/>
                <w:kern w:val="0"/>
              </w:rPr>
              <w:t>又</w:t>
            </w:r>
            <w:r w:rsidR="00885896">
              <w:rPr>
                <w:rFonts w:ascii="Times New Roman" w:eastAsia="標楷體" w:hAnsi="標楷體" w:cs="標楷體" w:hint="eastAsia"/>
                <w:bCs/>
                <w:color w:val="000000"/>
                <w:kern w:val="0"/>
              </w:rPr>
              <w:t>依本要點第二點之規定，</w:t>
            </w:r>
            <w:r w:rsidR="00176E31" w:rsidRPr="00176E31">
              <w:rPr>
                <w:rFonts w:ascii="Times New Roman" w:eastAsia="標楷體" w:hAnsi="標楷體" w:cs="標楷體" w:hint="eastAsia"/>
                <w:bCs/>
                <w:color w:val="000000"/>
                <w:kern w:val="0"/>
              </w:rPr>
              <w:t>各機關（構）如有優於本要點之規定</w:t>
            </w:r>
            <w:r w:rsidR="00885896">
              <w:rPr>
                <w:rFonts w:ascii="Times New Roman" w:eastAsia="標楷體" w:hAnsi="標楷體" w:cs="標楷體" w:hint="eastAsia"/>
                <w:bCs/>
                <w:color w:val="000000"/>
                <w:kern w:val="0"/>
              </w:rPr>
              <w:t>者</w:t>
            </w:r>
            <w:r w:rsidR="00176E31" w:rsidRPr="00176E31">
              <w:rPr>
                <w:rFonts w:ascii="Times New Roman" w:eastAsia="標楷體" w:hAnsi="標楷體" w:cs="標楷體" w:hint="eastAsia"/>
                <w:bCs/>
                <w:color w:val="000000"/>
                <w:kern w:val="0"/>
              </w:rPr>
              <w:t>，</w:t>
            </w:r>
            <w:r w:rsidR="00885896">
              <w:rPr>
                <w:rFonts w:ascii="Times New Roman" w:eastAsia="標楷體" w:hAnsi="標楷體" w:cs="標楷體" w:hint="eastAsia"/>
                <w:bCs/>
                <w:color w:val="000000"/>
                <w:kern w:val="0"/>
              </w:rPr>
              <w:t>仍可依</w:t>
            </w:r>
            <w:r w:rsidR="00176E31" w:rsidRPr="00176E31">
              <w:rPr>
                <w:rFonts w:ascii="Times New Roman" w:eastAsia="標楷體" w:hAnsi="標楷體" w:cs="標楷體" w:hint="eastAsia"/>
                <w:bCs/>
                <w:color w:val="000000"/>
                <w:kern w:val="0"/>
              </w:rPr>
              <w:t>其規定</w:t>
            </w:r>
            <w:r w:rsidR="00885896">
              <w:rPr>
                <w:rFonts w:ascii="Times New Roman" w:eastAsia="標楷體" w:hAnsi="標楷體" w:cs="標楷體" w:hint="eastAsia"/>
                <w:bCs/>
                <w:color w:val="000000"/>
                <w:kern w:val="0"/>
              </w:rPr>
              <w:t>辦理</w:t>
            </w:r>
            <w:r w:rsidR="00176E31" w:rsidRPr="00176E31">
              <w:rPr>
                <w:rFonts w:ascii="Times New Roman" w:eastAsia="標楷體" w:hAnsi="標楷體" w:cs="標楷體" w:hint="eastAsia"/>
                <w:bCs/>
                <w:color w:val="000000"/>
                <w:kern w:val="0"/>
              </w:rPr>
              <w:t>。</w:t>
            </w:r>
          </w:p>
          <w:p w:rsidR="009A794E" w:rsidRPr="00862B72" w:rsidRDefault="009A794E" w:rsidP="00B27560">
            <w:pPr>
              <w:pStyle w:val="a5"/>
              <w:numPr>
                <w:ilvl w:val="0"/>
                <w:numId w:val="6"/>
              </w:numPr>
              <w:spacing w:line="360" w:lineRule="exact"/>
              <w:ind w:leftChars="0"/>
              <w:jc w:val="both"/>
              <w:rPr>
                <w:rFonts w:ascii="Times New Roman" w:eastAsia="標楷體" w:hAnsi="標楷體" w:cs="標楷體"/>
                <w:bCs/>
                <w:color w:val="000000"/>
                <w:kern w:val="0"/>
              </w:rPr>
            </w:pPr>
            <w:r w:rsidRPr="00862B72">
              <w:rPr>
                <w:rFonts w:ascii="Times New Roman" w:eastAsia="標楷體" w:hAnsi="標楷體" w:cs="標楷體" w:hint="eastAsia"/>
                <w:bCs/>
                <w:color w:val="000000"/>
                <w:kern w:val="0"/>
              </w:rPr>
              <w:t>第一項附表所定一般健康檢查項目，係適用於執行一般性職（勤）務之公務人員，對於</w:t>
            </w:r>
            <w:r w:rsidR="00827CA0">
              <w:rPr>
                <w:rFonts w:ascii="Times New Roman" w:eastAsia="標楷體" w:hAnsi="標楷體" w:cs="標楷體" w:hint="eastAsia"/>
                <w:bCs/>
                <w:color w:val="000000"/>
                <w:kern w:val="0"/>
              </w:rPr>
              <w:t>第三點第一項第四款所定</w:t>
            </w:r>
            <w:r w:rsidRPr="00862B72">
              <w:rPr>
                <w:rFonts w:ascii="Times New Roman" w:eastAsia="標楷體" w:hAnsi="Times New Roman" w:cs="Times New Roman" w:hint="eastAsia"/>
              </w:rPr>
              <w:t>從事重複性、輪班、夜間、長時間工作等有危害安全及衛生顧慮工作之未滿四十歲</w:t>
            </w:r>
            <w:r w:rsidRPr="00862B72">
              <w:rPr>
                <w:rFonts w:ascii="Times New Roman" w:eastAsia="標楷體" w:hAnsi="Times New Roman" w:cs="Times New Roman" w:hint="eastAsia"/>
              </w:rPr>
              <w:lastRenderedPageBreak/>
              <w:t>人員，</w:t>
            </w:r>
            <w:r w:rsidR="00827CA0">
              <w:rPr>
                <w:rFonts w:ascii="Times New Roman" w:eastAsia="標楷體" w:hAnsi="Times New Roman" w:cs="Times New Roman" w:hint="eastAsia"/>
              </w:rPr>
              <w:t>如</w:t>
            </w:r>
            <w:r w:rsidRPr="00862B72">
              <w:rPr>
                <w:rFonts w:ascii="Times New Roman" w:eastAsia="標楷體" w:hAnsi="Times New Roman" w:cs="Times New Roman" w:hint="eastAsia"/>
              </w:rPr>
              <w:t>有不足</w:t>
            </w:r>
            <w:r w:rsidRPr="00862B72">
              <w:rPr>
                <w:rFonts w:ascii="Times New Roman" w:eastAsia="標楷體" w:hAnsi="標楷體" w:cs="標楷體" w:hint="eastAsia"/>
                <w:bCs/>
                <w:color w:val="000000"/>
                <w:kern w:val="0"/>
              </w:rPr>
              <w:t>，必要時，得增加檢查項目，以符實需</w:t>
            </w:r>
            <w:r w:rsidR="00827CA0">
              <w:rPr>
                <w:rFonts w:ascii="Times New Roman" w:eastAsia="標楷體" w:hAnsi="標楷體" w:cs="標楷體" w:hint="eastAsia"/>
                <w:bCs/>
                <w:color w:val="000000"/>
                <w:kern w:val="0"/>
              </w:rPr>
              <w:t>，爰於第三項明定之</w:t>
            </w:r>
            <w:r w:rsidRPr="00862B72">
              <w:rPr>
                <w:rFonts w:ascii="Times New Roman" w:eastAsia="標楷體" w:hAnsi="標楷體" w:cs="標楷體" w:hint="eastAsia"/>
                <w:bCs/>
                <w:color w:val="000000"/>
                <w:kern w:val="0"/>
              </w:rPr>
              <w:t>。</w:t>
            </w:r>
          </w:p>
          <w:p w:rsidR="009A794E" w:rsidRPr="00862B72" w:rsidRDefault="009A794E" w:rsidP="00B27560">
            <w:pPr>
              <w:pStyle w:val="a5"/>
              <w:numPr>
                <w:ilvl w:val="0"/>
                <w:numId w:val="6"/>
              </w:numPr>
              <w:spacing w:line="360" w:lineRule="exact"/>
              <w:ind w:leftChars="0"/>
              <w:jc w:val="both"/>
              <w:rPr>
                <w:rFonts w:ascii="Times New Roman" w:eastAsia="標楷體" w:hAnsi="標楷體" w:cs="標楷體"/>
                <w:bCs/>
                <w:color w:val="000000"/>
                <w:kern w:val="0"/>
              </w:rPr>
            </w:pPr>
            <w:r w:rsidRPr="00862B72">
              <w:rPr>
                <w:rFonts w:ascii="Times New Roman" w:eastAsia="標楷體" w:hAnsi="標楷體" w:cs="標楷體" w:hint="eastAsia"/>
                <w:bCs/>
                <w:color w:val="000000"/>
                <w:kern w:val="0"/>
              </w:rPr>
              <w:t>另為減輕國家財政負擔，避免醫療資源浪費，於第四項明定各機關辦理公務人員之一般健康檢查時，得配合成人預防保健服務辦理之。</w:t>
            </w:r>
          </w:p>
          <w:p w:rsidR="009A794E" w:rsidRPr="00862B72" w:rsidRDefault="009A794E" w:rsidP="00B27560">
            <w:pPr>
              <w:pStyle w:val="a5"/>
              <w:numPr>
                <w:ilvl w:val="0"/>
                <w:numId w:val="6"/>
              </w:numPr>
              <w:spacing w:line="360" w:lineRule="exact"/>
              <w:ind w:leftChars="0"/>
              <w:jc w:val="both"/>
              <w:rPr>
                <w:rFonts w:ascii="Times New Roman" w:eastAsia="標楷體" w:hAnsi="標楷體" w:cs="標楷體"/>
                <w:bCs/>
                <w:color w:val="000000"/>
                <w:kern w:val="0"/>
              </w:rPr>
            </w:pPr>
            <w:r w:rsidRPr="00862B72">
              <w:rPr>
                <w:rFonts w:ascii="Times New Roman" w:eastAsia="標楷體" w:hAnsi="標楷體" w:cs="標楷體" w:hint="eastAsia"/>
                <w:bCs/>
                <w:color w:val="000000"/>
                <w:kern w:val="0"/>
              </w:rPr>
              <w:t>相關規定及函釋︰</w:t>
            </w:r>
          </w:p>
          <w:p w:rsidR="009A794E" w:rsidRPr="00862B72" w:rsidRDefault="009A794E" w:rsidP="00B27560">
            <w:pPr>
              <w:pStyle w:val="a5"/>
              <w:numPr>
                <w:ilvl w:val="0"/>
                <w:numId w:val="2"/>
              </w:numPr>
              <w:ind w:leftChars="0"/>
              <w:jc w:val="both"/>
              <w:rPr>
                <w:rFonts w:ascii="Times New Roman" w:eastAsia="標楷體" w:hAnsi="Times New Roman" w:cs="Times New Roman"/>
              </w:rPr>
            </w:pPr>
            <w:r w:rsidRPr="00862B72">
              <w:rPr>
                <w:rFonts w:ascii="Times New Roman" w:eastAsia="標楷體" w:hAnsi="標楷體" w:cs="標楷體" w:hint="eastAsia"/>
              </w:rPr>
              <w:t>衛生福利部</w:t>
            </w:r>
            <w:r w:rsidR="00827CA0">
              <w:rPr>
                <w:rFonts w:ascii="Times New Roman" w:eastAsia="標楷體" w:hAnsi="標楷體" w:cs="標楷體" w:hint="eastAsia"/>
              </w:rPr>
              <w:t>訂定之</w:t>
            </w:r>
            <w:r w:rsidRPr="00862B72">
              <w:rPr>
                <w:rFonts w:ascii="Times New Roman" w:eastAsia="標楷體" w:hAnsi="標楷體" w:cs="標楷體" w:hint="eastAsia"/>
              </w:rPr>
              <w:t>「醫事服務機構辦理預防保健服務注意事項」之成人預防保健「健康加值」方案。</w:t>
            </w:r>
          </w:p>
          <w:p w:rsidR="009A794E" w:rsidRPr="003B43DF" w:rsidRDefault="009A794E" w:rsidP="00B27560">
            <w:pPr>
              <w:pStyle w:val="a5"/>
              <w:numPr>
                <w:ilvl w:val="0"/>
                <w:numId w:val="2"/>
              </w:numPr>
              <w:ind w:leftChars="0"/>
              <w:jc w:val="both"/>
              <w:rPr>
                <w:rFonts w:ascii="Times New Roman" w:eastAsia="標楷體" w:hAnsi="Times New Roman" w:cs="Times New Roman"/>
              </w:rPr>
            </w:pPr>
            <w:r w:rsidRPr="003B43DF">
              <w:rPr>
                <w:rFonts w:ascii="Times New Roman" w:eastAsia="標楷體" w:hAnsi="標楷體" w:cs="標楷體" w:hint="eastAsia"/>
              </w:rPr>
              <w:t>勞工健康保護規則第十一條第一項</w:t>
            </w:r>
            <w:r w:rsidR="003B43DF">
              <w:rPr>
                <w:rFonts w:ascii="Times New Roman" w:eastAsia="標楷體" w:hAnsi="標楷體" w:cs="標楷體" w:hint="eastAsia"/>
              </w:rPr>
              <w:t>規定︰</w:t>
            </w:r>
            <w:r w:rsidRPr="003B43DF">
              <w:rPr>
                <w:rFonts w:ascii="Times New Roman" w:eastAsia="標楷體" w:hAnsi="標楷體" w:cs="標楷體" w:hint="eastAsia"/>
              </w:rPr>
              <w:t>「雇主對在職勞工，應依下列規定，定期實施一般健康檢查：一、年滿六十五歲者，每年檢查一次。二、四十歲以上未滿六十五歲者，每三年檢查一次。三、未滿四十歲者，每五年檢查一次。」</w:t>
            </w:r>
          </w:p>
          <w:p w:rsidR="003B43DF" w:rsidRPr="003B43DF" w:rsidRDefault="009A794E" w:rsidP="00B27560">
            <w:pPr>
              <w:pStyle w:val="a5"/>
              <w:numPr>
                <w:ilvl w:val="0"/>
                <w:numId w:val="2"/>
              </w:numPr>
              <w:ind w:leftChars="0"/>
              <w:jc w:val="both"/>
              <w:rPr>
                <w:rFonts w:ascii="Times New Roman" w:eastAsia="標楷體" w:hAnsi="Times New Roman" w:cs="Times New Roman"/>
                <w:b/>
                <w:bCs/>
              </w:rPr>
            </w:pPr>
            <w:r w:rsidRPr="00862B72">
              <w:rPr>
                <w:rFonts w:ascii="Times New Roman" w:eastAsia="標楷體" w:hAnsi="標楷體" w:cs="標楷體" w:hint="eastAsia"/>
              </w:rPr>
              <w:t>行政院九十五年四月二十五日院授人給字第○九五○○六一九二○號函，</w:t>
            </w:r>
            <w:r w:rsidR="00DB6F78">
              <w:rPr>
                <w:rFonts w:ascii="Times New Roman" w:eastAsia="標楷體" w:hAnsi="標楷體" w:cs="標楷體" w:hint="eastAsia"/>
              </w:rPr>
              <w:t>前</w:t>
            </w:r>
            <w:r w:rsidRPr="00862B72">
              <w:rPr>
                <w:rFonts w:ascii="Times New Roman" w:eastAsia="標楷體" w:hAnsi="標楷體" w:cs="標楷體" w:hint="eastAsia"/>
              </w:rPr>
              <w:t>行政院人事行政局八十九年十一月九日八九台院人政給字第二一一一三○號函：</w:t>
            </w:r>
          </w:p>
          <w:p w:rsidR="009A794E" w:rsidRPr="00862B72" w:rsidRDefault="009A794E" w:rsidP="00923EDF">
            <w:pPr>
              <w:pStyle w:val="a5"/>
              <w:ind w:leftChars="0" w:left="1080"/>
              <w:jc w:val="both"/>
              <w:rPr>
                <w:rFonts w:ascii="Times New Roman" w:eastAsia="標楷體" w:hAnsi="Times New Roman" w:cs="Times New Roman"/>
                <w:b/>
                <w:bCs/>
              </w:rPr>
            </w:pPr>
            <w:r w:rsidRPr="00862B72">
              <w:rPr>
                <w:rFonts w:ascii="Times New Roman" w:eastAsia="標楷體" w:hAnsi="標楷體" w:cs="標楷體" w:hint="eastAsia"/>
              </w:rPr>
              <w:t>有關自九十年一月一日起擴大辦理公務人員健康檢查一案，規定︰「一、檢查對象︰中央各機關編制內四十歲</w:t>
            </w:r>
            <w:r w:rsidR="003B43DF">
              <w:rPr>
                <w:rFonts w:ascii="Times New Roman" w:eastAsia="標楷體" w:hAnsi="標楷體" w:cs="標楷體" w:hint="eastAsia"/>
              </w:rPr>
              <w:t>以上之公務人員。二、檢查項目：包括血液檢查、梅毒血清檢查等項目……</w:t>
            </w:r>
            <w:r w:rsidRPr="00862B72">
              <w:rPr>
                <w:rFonts w:ascii="Times New Roman" w:eastAsia="標楷體" w:hAnsi="標楷體" w:cs="標楷體" w:hint="eastAsia"/>
              </w:rPr>
              <w:t>。各機關得在上述檢查項目內就公務人員個人體質、年齡等視情況酌作篩選。</w:t>
            </w:r>
            <w:r w:rsidR="00923EDF">
              <w:rPr>
                <w:rFonts w:ascii="Times New Roman" w:eastAsia="標楷體" w:hAnsi="Times New Roman" w:cs="Times New Roman" w:hint="eastAsia"/>
              </w:rPr>
              <w:t>……</w:t>
            </w:r>
            <w:r w:rsidRPr="00862B72">
              <w:rPr>
                <w:rFonts w:ascii="Times New Roman" w:eastAsia="標楷體" w:hAnsi="標楷體" w:cs="標楷體" w:hint="eastAsia"/>
              </w:rPr>
              <w:t>」</w:t>
            </w:r>
          </w:p>
        </w:tc>
      </w:tr>
      <w:tr w:rsidR="009A794E" w:rsidRPr="00862B72" w:rsidTr="009A794E">
        <w:trPr>
          <w:trHeight w:val="60"/>
        </w:trPr>
        <w:tc>
          <w:tcPr>
            <w:tcW w:w="2501" w:type="pct"/>
          </w:tcPr>
          <w:p w:rsidR="009A794E" w:rsidRPr="00862B72" w:rsidRDefault="009A794E" w:rsidP="00DB6F78">
            <w:pPr>
              <w:ind w:left="475" w:hangingChars="198" w:hanging="475"/>
              <w:jc w:val="both"/>
              <w:rPr>
                <w:rFonts w:ascii="Times New Roman" w:eastAsia="標楷體" w:hAnsi="Times New Roman" w:cs="Times New Roman"/>
              </w:rPr>
            </w:pPr>
            <w:r w:rsidRPr="00862B72">
              <w:rPr>
                <w:rFonts w:ascii="Times New Roman" w:eastAsia="標楷體" w:hAnsi="標楷體" w:cs="標楷體" w:hint="eastAsia"/>
              </w:rPr>
              <w:lastRenderedPageBreak/>
              <w:t>五、一般健康檢查，應於中央衛生主管機關評鑑為合格之醫療機構實施之。</w:t>
            </w:r>
          </w:p>
        </w:tc>
        <w:tc>
          <w:tcPr>
            <w:tcW w:w="2499" w:type="pct"/>
          </w:tcPr>
          <w:p w:rsidR="009A794E" w:rsidRPr="00862B72" w:rsidRDefault="009A794E" w:rsidP="00B27560">
            <w:pPr>
              <w:pStyle w:val="a5"/>
              <w:numPr>
                <w:ilvl w:val="0"/>
                <w:numId w:val="1"/>
              </w:numPr>
              <w:ind w:leftChars="0"/>
              <w:jc w:val="both"/>
              <w:rPr>
                <w:rFonts w:ascii="Times New Roman" w:eastAsia="標楷體" w:hAnsi="Times New Roman" w:cs="Times New Roman"/>
              </w:rPr>
            </w:pPr>
            <w:r w:rsidRPr="00862B72">
              <w:rPr>
                <w:rFonts w:ascii="Times New Roman" w:eastAsia="標楷體" w:hAnsi="標楷體" w:cs="標楷體" w:hint="eastAsia"/>
              </w:rPr>
              <w:t>參酌</w:t>
            </w:r>
            <w:r w:rsidR="003B43DF" w:rsidRPr="003B43DF">
              <w:rPr>
                <w:rFonts w:ascii="Times New Roman" w:eastAsia="標楷體" w:hAnsi="標楷體" w:cs="標楷體" w:hint="eastAsia"/>
              </w:rPr>
              <w:t>辦理勞工體格與健康檢查醫療機構認可及管理辦法</w:t>
            </w:r>
            <w:r w:rsidRPr="00862B72">
              <w:rPr>
                <w:rFonts w:ascii="Times New Roman" w:eastAsia="標楷體" w:hAnsi="標楷體" w:cs="標楷體" w:hint="eastAsia"/>
              </w:rPr>
              <w:t>相關規定，並兼顧公務人員一般健康檢查之</w:t>
            </w:r>
            <w:r w:rsidR="00A6502E">
              <w:rPr>
                <w:rFonts w:ascii="Times New Roman" w:eastAsia="標楷體" w:hAnsi="標楷體" w:cs="標楷體" w:hint="eastAsia"/>
              </w:rPr>
              <w:t>實施</w:t>
            </w:r>
            <w:r w:rsidRPr="00862B72">
              <w:rPr>
                <w:rFonts w:ascii="Times New Roman" w:eastAsia="標楷體" w:hAnsi="標楷體" w:cs="標楷體" w:hint="eastAsia"/>
              </w:rPr>
              <w:t>品質及</w:t>
            </w:r>
            <w:r w:rsidR="00A6502E">
              <w:rPr>
                <w:rFonts w:ascii="Times New Roman" w:eastAsia="標楷體" w:hAnsi="標楷體" w:cs="標楷體" w:hint="eastAsia"/>
              </w:rPr>
              <w:t>其</w:t>
            </w:r>
            <w:r w:rsidRPr="00862B72">
              <w:rPr>
                <w:rFonts w:ascii="Times New Roman" w:eastAsia="標楷體" w:hAnsi="標楷體" w:cs="標楷體" w:hint="eastAsia"/>
              </w:rPr>
              <w:t>便利性，明定一般健康檢查，應於中央衛生主管機關評鑑為合格之醫療機構實施之。</w:t>
            </w:r>
          </w:p>
          <w:p w:rsidR="009A794E" w:rsidRPr="00862B72" w:rsidRDefault="009A794E" w:rsidP="00B27560">
            <w:pPr>
              <w:pStyle w:val="a5"/>
              <w:numPr>
                <w:ilvl w:val="0"/>
                <w:numId w:val="1"/>
              </w:numPr>
              <w:ind w:leftChars="0"/>
              <w:jc w:val="both"/>
              <w:rPr>
                <w:rFonts w:ascii="Times New Roman" w:eastAsia="標楷體" w:hAnsi="Times New Roman" w:cs="Times New Roman"/>
              </w:rPr>
            </w:pPr>
            <w:r w:rsidRPr="00862B72">
              <w:rPr>
                <w:rFonts w:ascii="Times New Roman" w:eastAsia="標楷體" w:hAnsi="標楷體" w:cs="標楷體" w:hint="eastAsia"/>
              </w:rPr>
              <w:t>相關規定︰</w:t>
            </w:r>
          </w:p>
          <w:p w:rsidR="009A794E" w:rsidRPr="003B43DF" w:rsidRDefault="009A794E" w:rsidP="00B27560">
            <w:pPr>
              <w:pStyle w:val="a5"/>
              <w:numPr>
                <w:ilvl w:val="0"/>
                <w:numId w:val="5"/>
              </w:numPr>
              <w:ind w:leftChars="0"/>
              <w:jc w:val="both"/>
              <w:rPr>
                <w:rFonts w:ascii="Times New Roman" w:eastAsia="標楷體" w:hAnsi="Times New Roman" w:cs="Times New Roman"/>
              </w:rPr>
            </w:pPr>
            <w:r w:rsidRPr="003B43DF">
              <w:rPr>
                <w:rFonts w:ascii="Times New Roman" w:eastAsia="標楷體" w:hAnsi="標楷體" w:cs="標楷體" w:hint="eastAsia"/>
              </w:rPr>
              <w:t>辦理勞工體格與健康檢查醫療機構認可及管理辦法第四條規定︰「符合下列條件者，得申請為辦理勞工一般體格及健康檢查之認可醫療機構：一、為全民健康保險特約醫療機構。二、自備辦理勞工健康保護規則規定之一般體格及健康檢查項目之檢驗（查）設備及合格</w:t>
            </w:r>
            <w:r w:rsidRPr="003B43DF">
              <w:rPr>
                <w:rFonts w:ascii="Times New Roman" w:eastAsia="標楷體" w:hAnsi="標楷體" w:cs="標楷體" w:hint="eastAsia"/>
              </w:rPr>
              <w:t>X</w:t>
            </w:r>
            <w:r w:rsidRPr="003B43DF">
              <w:rPr>
                <w:rFonts w:ascii="Times New Roman" w:eastAsia="標楷體" w:hAnsi="標楷體" w:cs="標楷體" w:hint="eastAsia"/>
              </w:rPr>
              <w:t>光機。三、聘有醫師二名以上、醫事放射師（士）、醫事檢驗師（生）及護理人員。四、二年內未經撤銷或廢止認可。」</w:t>
            </w:r>
          </w:p>
          <w:p w:rsidR="009A794E" w:rsidRPr="00862B72" w:rsidRDefault="009A794E" w:rsidP="00B27560">
            <w:pPr>
              <w:pStyle w:val="a5"/>
              <w:numPr>
                <w:ilvl w:val="0"/>
                <w:numId w:val="5"/>
              </w:numPr>
              <w:ind w:leftChars="0"/>
              <w:jc w:val="both"/>
              <w:rPr>
                <w:rFonts w:ascii="Times New Roman" w:eastAsia="標楷體" w:hAnsi="Times New Roman" w:cs="Times New Roman"/>
              </w:rPr>
            </w:pPr>
            <w:r w:rsidRPr="00862B72">
              <w:rPr>
                <w:rFonts w:ascii="Times New Roman" w:eastAsia="標楷體" w:hAnsi="標楷體" w:cs="標楷體" w:hint="eastAsia"/>
              </w:rPr>
              <w:t>公教人員保險法第十三條</w:t>
            </w:r>
            <w:r w:rsidR="00A6502E">
              <w:rPr>
                <w:rFonts w:ascii="Times New Roman" w:eastAsia="標楷體" w:hAnsi="標楷體" w:cs="標楷體" w:hint="eastAsia"/>
              </w:rPr>
              <w:t>第一項</w:t>
            </w:r>
            <w:r w:rsidR="00DB6F78">
              <w:rPr>
                <w:rFonts w:ascii="Times New Roman" w:eastAsia="標楷體" w:hAnsi="標楷體" w:cs="標楷體" w:hint="eastAsia"/>
              </w:rPr>
              <w:t>序文</w:t>
            </w:r>
            <w:r w:rsidRPr="00862B72">
              <w:rPr>
                <w:rFonts w:ascii="Times New Roman" w:eastAsia="標楷體" w:hAnsi="標楷體" w:cs="標楷體" w:hint="eastAsia"/>
              </w:rPr>
              <w:t>規定︰「被保險人發生傷害事故或罹患疾病，</w:t>
            </w:r>
            <w:r w:rsidR="00A6502E">
              <w:rPr>
                <w:rFonts w:ascii="Times New Roman" w:eastAsia="標楷體" w:hAnsi="標楷體" w:cs="標楷體" w:hint="eastAsia"/>
              </w:rPr>
              <w:t>經</w:t>
            </w:r>
            <w:r w:rsidRPr="00862B72">
              <w:rPr>
                <w:rFonts w:ascii="Times New Roman" w:eastAsia="標楷體" w:hAnsi="標楷體" w:cs="標楷體" w:hint="eastAsia"/>
              </w:rPr>
              <w:t>醫治終止後，身體仍遺留無法改善之障礙，</w:t>
            </w:r>
            <w:r w:rsidR="00A6502E">
              <w:rPr>
                <w:rFonts w:ascii="Times New Roman" w:eastAsia="標楷體" w:hAnsi="標楷體" w:cs="標楷體" w:hint="eastAsia"/>
              </w:rPr>
              <w:t>而</w:t>
            </w:r>
            <w:r w:rsidRPr="00862B72">
              <w:rPr>
                <w:rFonts w:ascii="Times New Roman" w:eastAsia="標楷體" w:hAnsi="標楷體" w:cs="標楷體" w:hint="eastAsia"/>
              </w:rPr>
              <w:t>符合殘廢標準，並經中央衛生主管機關評鑑合格之醫院鑑定為永久殘廢者，按其確定成殘</w:t>
            </w:r>
            <w:r w:rsidR="00A6502E">
              <w:rPr>
                <w:rFonts w:ascii="Times New Roman" w:eastAsia="標楷體" w:hAnsi="標楷體" w:cs="標楷體" w:hint="eastAsia"/>
              </w:rPr>
              <w:t>日</w:t>
            </w:r>
            <w:r w:rsidRPr="00862B72">
              <w:rPr>
                <w:rFonts w:ascii="Times New Roman" w:eastAsia="標楷體" w:hAnsi="標楷體" w:cs="標楷體" w:hint="eastAsia"/>
              </w:rPr>
              <w:t>當月</w:t>
            </w:r>
            <w:r w:rsidR="00A6502E">
              <w:rPr>
                <w:rFonts w:ascii="Times New Roman" w:eastAsia="標楷體" w:hAnsi="標楷體" w:cs="標楷體" w:hint="eastAsia"/>
              </w:rPr>
              <w:t>往前推算六個月</w:t>
            </w:r>
            <w:r w:rsidRPr="00862B72">
              <w:rPr>
                <w:rFonts w:ascii="Times New Roman" w:eastAsia="標楷體" w:hAnsi="標楷體" w:cs="標楷體" w:hint="eastAsia"/>
              </w:rPr>
              <w:t>之保險俸</w:t>
            </w:r>
            <w:r w:rsidR="00DB6F78">
              <w:rPr>
                <w:rFonts w:ascii="Times New Roman" w:eastAsia="標楷體" w:hAnsi="Times New Roman" w:cs="Times New Roman" w:hint="eastAsia"/>
              </w:rPr>
              <w:t>（</w:t>
            </w:r>
            <w:r w:rsidRPr="00862B72">
              <w:rPr>
                <w:rFonts w:ascii="Times New Roman" w:eastAsia="標楷體" w:hAnsi="標楷體" w:cs="標楷體" w:hint="eastAsia"/>
              </w:rPr>
              <w:t>薪</w:t>
            </w:r>
            <w:r w:rsidR="00DB6F78">
              <w:rPr>
                <w:rFonts w:ascii="Times New Roman" w:eastAsia="標楷體" w:hAnsi="Times New Roman" w:cs="Times New Roman" w:hint="eastAsia"/>
              </w:rPr>
              <w:t>）</w:t>
            </w:r>
            <w:r w:rsidRPr="00862B72">
              <w:rPr>
                <w:rFonts w:ascii="Times New Roman" w:eastAsia="標楷體" w:hAnsi="標楷體" w:cs="標楷體" w:hint="eastAsia"/>
              </w:rPr>
              <w:t>額</w:t>
            </w:r>
            <w:r w:rsidR="00A6502E">
              <w:rPr>
                <w:rFonts w:ascii="Times New Roman" w:eastAsia="標楷體" w:hAnsi="標楷體" w:cs="標楷體" w:hint="eastAsia"/>
              </w:rPr>
              <w:t>之平均</w:t>
            </w:r>
            <w:r w:rsidR="00A71221">
              <w:rPr>
                <w:rFonts w:ascii="Times New Roman" w:eastAsia="標楷體" w:hAnsi="標楷體" w:cs="標楷體" w:hint="eastAsia"/>
              </w:rPr>
              <w:t>數</w:t>
            </w:r>
            <w:r w:rsidRPr="00862B72">
              <w:rPr>
                <w:rFonts w:ascii="Times New Roman" w:eastAsia="標楷體" w:hAnsi="標楷體" w:cs="標楷體" w:hint="eastAsia"/>
              </w:rPr>
              <w:t>，依下列規定</w:t>
            </w:r>
            <w:r w:rsidR="00A6502E">
              <w:rPr>
                <w:rFonts w:ascii="Times New Roman" w:eastAsia="標楷體" w:hAnsi="標楷體" w:cs="標楷體" w:hint="eastAsia"/>
              </w:rPr>
              <w:t>核給</w:t>
            </w:r>
            <w:r w:rsidRPr="00862B72">
              <w:rPr>
                <w:rFonts w:ascii="Times New Roman" w:eastAsia="標楷體" w:hAnsi="標楷體" w:cs="標楷體" w:hint="eastAsia"/>
              </w:rPr>
              <w:t>殘廢給付。</w:t>
            </w:r>
            <w:r w:rsidR="00A6502E">
              <w:rPr>
                <w:rFonts w:ascii="Times New Roman" w:eastAsia="標楷體" w:hAnsi="標楷體" w:cs="標楷體" w:hint="eastAsia"/>
              </w:rPr>
              <w:t>」</w:t>
            </w:r>
          </w:p>
          <w:p w:rsidR="009A794E" w:rsidRPr="00862B72" w:rsidRDefault="009A794E" w:rsidP="00B27560">
            <w:pPr>
              <w:pStyle w:val="a5"/>
              <w:numPr>
                <w:ilvl w:val="0"/>
                <w:numId w:val="5"/>
              </w:numPr>
              <w:ind w:leftChars="0"/>
              <w:jc w:val="both"/>
              <w:rPr>
                <w:rFonts w:ascii="Times New Roman" w:eastAsia="標楷體" w:hAnsi="Times New Roman" w:cs="Times New Roman"/>
              </w:rPr>
            </w:pPr>
            <w:r w:rsidRPr="00862B72">
              <w:rPr>
                <w:rFonts w:ascii="Times New Roman" w:eastAsia="標楷體" w:hAnsi="標楷體" w:cs="標楷體" w:hint="eastAsia"/>
              </w:rPr>
              <w:t>公務人員因公傷殘死亡慰問金發給辦法第八條第一項規定︰「慰問金之申請程序及核定權責如下：一、申請程序：（一）公務人員因公受傷者，應檢具公務人員因公受傷慰問金申請表一式一份，詳述事件發生經過，並檢附中央衛生主管機關評鑑合格醫院出具之診斷證明書（含住院或接受治療原因），向其服務機關學校申請核定後發給。但依第四條第一項第一款第六目申請受傷慰問金之人員及澎湖、金門、馬祖等離島地區公務人員，得以全民健康保險特約醫療院所出具含住院或接受治療原因之診斷證明書為之。</w:t>
            </w:r>
            <w:r w:rsidR="00A6502E">
              <w:rPr>
                <w:rFonts w:ascii="Times New Roman" w:eastAsia="標楷體" w:hAnsi="標楷體" w:cs="標楷體" w:hint="eastAsia"/>
              </w:rPr>
              <w:t>」</w:t>
            </w:r>
          </w:p>
        </w:tc>
      </w:tr>
      <w:tr w:rsidR="009A794E" w:rsidRPr="00862B72" w:rsidTr="009A794E">
        <w:trPr>
          <w:trHeight w:val="60"/>
        </w:trPr>
        <w:tc>
          <w:tcPr>
            <w:tcW w:w="2501" w:type="pct"/>
          </w:tcPr>
          <w:p w:rsidR="009A794E" w:rsidRPr="00862B72" w:rsidRDefault="009A794E" w:rsidP="00DB6F78">
            <w:pPr>
              <w:ind w:left="516" w:hangingChars="215" w:hanging="516"/>
              <w:jc w:val="both"/>
              <w:rPr>
                <w:rFonts w:ascii="Times New Roman" w:eastAsia="標楷體" w:hAnsi="標楷體" w:cs="Times New Roman"/>
              </w:rPr>
            </w:pPr>
            <w:r>
              <w:rPr>
                <w:rFonts w:ascii="Times New Roman" w:eastAsia="標楷體" w:hAnsi="標楷體" w:cs="標楷體" w:hint="eastAsia"/>
              </w:rPr>
              <w:t>六</w:t>
            </w:r>
            <w:r w:rsidRPr="00862B72">
              <w:rPr>
                <w:rFonts w:ascii="Times New Roman" w:eastAsia="標楷體" w:hAnsi="標楷體" w:cs="標楷體" w:hint="eastAsia"/>
              </w:rPr>
              <w:t>、公務人員實施一般健康檢查時，各機關得依其檢附之證明文件，覈實給予公假，最高給予二日。</w:t>
            </w:r>
          </w:p>
        </w:tc>
        <w:tc>
          <w:tcPr>
            <w:tcW w:w="2499" w:type="pct"/>
          </w:tcPr>
          <w:p w:rsidR="009A794E" w:rsidRPr="00862B72" w:rsidRDefault="009A794E" w:rsidP="00B27560">
            <w:pPr>
              <w:pStyle w:val="a5"/>
              <w:numPr>
                <w:ilvl w:val="0"/>
                <w:numId w:val="3"/>
              </w:numPr>
              <w:ind w:leftChars="0"/>
              <w:jc w:val="both"/>
              <w:rPr>
                <w:rFonts w:ascii="Times New Roman" w:eastAsia="標楷體" w:hAnsi="Times New Roman" w:cs="Times New Roman"/>
              </w:rPr>
            </w:pPr>
            <w:r w:rsidRPr="00862B72">
              <w:rPr>
                <w:rFonts w:ascii="Times New Roman" w:eastAsia="標楷體" w:hAnsi="標楷體" w:cs="標楷體" w:hint="eastAsia"/>
              </w:rPr>
              <w:t>按公務人員請假規則第四條規定之公假事由，</w:t>
            </w:r>
            <w:r w:rsidR="00A6502E">
              <w:rPr>
                <w:rFonts w:ascii="Times New Roman" w:eastAsia="標楷體" w:hAnsi="標楷體" w:cs="標楷體" w:hint="eastAsia"/>
              </w:rPr>
              <w:t>雖</w:t>
            </w:r>
            <w:r w:rsidRPr="00862B72">
              <w:rPr>
                <w:rFonts w:ascii="Times New Roman" w:eastAsia="標楷體" w:hAnsi="標楷體" w:cs="標楷體" w:hint="eastAsia"/>
              </w:rPr>
              <w:t>未包括實施一般健康檢查</w:t>
            </w:r>
            <w:r w:rsidR="00A6502E">
              <w:rPr>
                <w:rFonts w:ascii="Times New Roman" w:eastAsia="標楷體" w:hAnsi="標楷體" w:cs="標楷體" w:hint="eastAsia"/>
              </w:rPr>
              <w:t>，惟</w:t>
            </w:r>
            <w:r w:rsidRPr="00862B72">
              <w:rPr>
                <w:rFonts w:ascii="Times New Roman" w:eastAsia="標楷體" w:hAnsi="標楷體" w:cs="標楷體" w:hint="eastAsia"/>
              </w:rPr>
              <w:t>為鼓勵公務</w:t>
            </w:r>
            <w:r w:rsidR="00A6502E">
              <w:rPr>
                <w:rFonts w:ascii="Times New Roman" w:eastAsia="標楷體" w:hAnsi="標楷體" w:cs="標楷體" w:hint="eastAsia"/>
              </w:rPr>
              <w:t>人員</w:t>
            </w:r>
            <w:r w:rsidRPr="00862B72">
              <w:rPr>
                <w:rFonts w:ascii="Times New Roman" w:eastAsia="標楷體" w:hAnsi="標楷體" w:cs="標楷體" w:hint="eastAsia"/>
              </w:rPr>
              <w:t>踴躍實施</w:t>
            </w:r>
            <w:r w:rsidR="00A6502E">
              <w:rPr>
                <w:rFonts w:ascii="Times New Roman" w:eastAsia="標楷體" w:hAnsi="標楷體" w:cs="標楷體" w:hint="eastAsia"/>
              </w:rPr>
              <w:t>一般</w:t>
            </w:r>
            <w:r w:rsidRPr="00862B72">
              <w:rPr>
                <w:rFonts w:ascii="Times New Roman" w:eastAsia="標楷體" w:hAnsi="標楷體" w:cs="標楷體" w:hint="eastAsia"/>
              </w:rPr>
              <w:t>健康檢查，維護其身心健康，提升公務品質，爰明定公務人員實施一般健康檢查時，各機關得依其檢附之證明文件，覈實給予公假；並得視實際需要，最高給予二日。</w:t>
            </w:r>
          </w:p>
          <w:p w:rsidR="009A794E" w:rsidRPr="00862B72" w:rsidRDefault="009A794E" w:rsidP="00501B0F">
            <w:pPr>
              <w:jc w:val="both"/>
              <w:rPr>
                <w:rFonts w:ascii="Times New Roman" w:eastAsia="標楷體" w:hAnsi="Times New Roman" w:cs="Times New Roman"/>
              </w:rPr>
            </w:pPr>
            <w:r w:rsidRPr="00862B72">
              <w:rPr>
                <w:rFonts w:ascii="Times New Roman" w:eastAsia="標楷體" w:hAnsi="標楷體" w:cs="標楷體" w:hint="eastAsia"/>
              </w:rPr>
              <w:t>二、相關規定及函釋︰</w:t>
            </w:r>
          </w:p>
          <w:p w:rsidR="009A794E" w:rsidRPr="00862B72" w:rsidRDefault="009A794E" w:rsidP="00B27560">
            <w:pPr>
              <w:pStyle w:val="a5"/>
              <w:numPr>
                <w:ilvl w:val="0"/>
                <w:numId w:val="4"/>
              </w:numPr>
              <w:ind w:leftChars="0"/>
              <w:jc w:val="both"/>
              <w:rPr>
                <w:rFonts w:ascii="Times New Roman" w:eastAsia="標楷體" w:hAnsi="Times New Roman" w:cs="Times New Roman"/>
              </w:rPr>
            </w:pPr>
            <w:r w:rsidRPr="00862B72">
              <w:rPr>
                <w:rFonts w:ascii="Times New Roman" w:eastAsia="標楷體" w:hAnsi="標楷體" w:cs="標楷體" w:hint="eastAsia"/>
              </w:rPr>
              <w:t>公務人員請假規則第四條規定︰「公務人員有下列各款情事之一者，給予公假。其期間由機關視實際需要定之：一、奉派參加政府召集之集會。二、參加政府舉辦與職務有關之考試，經機關長官核准者。三、依法受各種兵役召集。四、參加政府依法主辦之各項投票。五、因執行職務或上下班途中發生危險以致傷病，必須休養或療治，其期間在二年以內者。六、奉派或奉准參加與其職務有關之訓練進修，其期間在一年以內者。但公務人員訓練進修法規另有規定者，從其規定。七、奉派考察或參加國際會議。八、應國內外機關團體邀請，參加與其職務有關之各項會議或活動，或基於法定義務出席作證、答辯，經機關長官核准者。九、參加本機關舉辦之活動，經機關長官核准者。十、因法定傳染病經各級衛生主管機關認定應強制隔離</w:t>
            </w:r>
            <w:r w:rsidR="00A6502E">
              <w:rPr>
                <w:rFonts w:ascii="Times New Roman" w:eastAsia="標楷體" w:hAnsi="標楷體" w:cs="標楷體" w:hint="eastAsia"/>
              </w:rPr>
              <w:t>者</w:t>
            </w:r>
            <w:r w:rsidRPr="00862B72">
              <w:rPr>
                <w:rFonts w:ascii="Times New Roman" w:eastAsia="標楷體" w:hAnsi="標楷體" w:cs="標楷體" w:hint="eastAsia"/>
              </w:rPr>
              <w:t>。但因可歸責於當事人事由而罹病者，不在此限。十一、依考試院訂定之激勵法規規定給假者。」</w:t>
            </w:r>
          </w:p>
          <w:p w:rsidR="009A794E" w:rsidRPr="00862B72" w:rsidRDefault="009A794E" w:rsidP="00B27560">
            <w:pPr>
              <w:pStyle w:val="a5"/>
              <w:numPr>
                <w:ilvl w:val="0"/>
                <w:numId w:val="4"/>
              </w:numPr>
              <w:ind w:leftChars="0"/>
              <w:jc w:val="both"/>
              <w:rPr>
                <w:rFonts w:ascii="Times New Roman" w:eastAsia="標楷體" w:hAnsi="Times New Roman" w:cs="Times New Roman"/>
              </w:rPr>
            </w:pPr>
            <w:r w:rsidRPr="00862B72">
              <w:rPr>
                <w:rFonts w:ascii="Times New Roman" w:eastAsia="標楷體" w:hAnsi="標楷體" w:cs="標楷體" w:hint="eastAsia"/>
              </w:rPr>
              <w:t>行政院人事行政總處一○三年一月十六日總處給字第一○三○○二○七五二一號函：</w:t>
            </w:r>
          </w:p>
          <w:p w:rsidR="009A794E" w:rsidRPr="00862B72" w:rsidRDefault="009A794E" w:rsidP="00501B0F">
            <w:pPr>
              <w:pStyle w:val="a5"/>
              <w:ind w:leftChars="0" w:left="1080"/>
              <w:jc w:val="both"/>
              <w:rPr>
                <w:rFonts w:ascii="Times New Roman" w:eastAsia="標楷體" w:hAnsi="Times New Roman" w:cs="Times New Roman"/>
              </w:rPr>
            </w:pPr>
            <w:r w:rsidRPr="00862B72">
              <w:rPr>
                <w:rFonts w:ascii="Times New Roman" w:eastAsia="標楷體" w:hAnsi="標楷體" w:cs="標楷體" w:hint="eastAsia"/>
              </w:rPr>
              <w:t>有關辦理一○三年度行政院及所屬二級機關正副首長及司處長以上主管人員全身健康檢查，說明七、規定︰「實際參加健康檢查人員得以公假登記，並得視實際需要，最高以二天為限。</w:t>
            </w:r>
            <w:r w:rsidR="00A6502E">
              <w:rPr>
                <w:rFonts w:ascii="Times New Roman" w:eastAsia="標楷體" w:hAnsi="標楷體" w:cs="標楷體" w:hint="eastAsia"/>
              </w:rPr>
              <w:t>」</w:t>
            </w:r>
          </w:p>
          <w:p w:rsidR="009A794E" w:rsidRPr="00862B72" w:rsidRDefault="009A794E" w:rsidP="00B27560">
            <w:pPr>
              <w:pStyle w:val="a5"/>
              <w:numPr>
                <w:ilvl w:val="0"/>
                <w:numId w:val="4"/>
              </w:numPr>
              <w:ind w:leftChars="0"/>
              <w:jc w:val="both"/>
              <w:rPr>
                <w:rFonts w:ascii="Times New Roman" w:eastAsia="標楷體" w:hAnsi="Times New Roman" w:cs="Times New Roman"/>
              </w:rPr>
            </w:pPr>
            <w:r w:rsidRPr="00862B72">
              <w:rPr>
                <w:rFonts w:ascii="Times New Roman" w:eastAsia="標楷體" w:hAnsi="標楷體" w:cs="標楷體" w:hint="eastAsia"/>
              </w:rPr>
              <w:t>行政院九十七年十一月二十八日院授人給字第○九七○○二七五九五號函：</w:t>
            </w:r>
          </w:p>
          <w:p w:rsidR="009A794E" w:rsidRPr="00862B72" w:rsidRDefault="009A794E" w:rsidP="00A71221">
            <w:pPr>
              <w:pStyle w:val="a5"/>
              <w:ind w:leftChars="0" w:left="1080"/>
              <w:jc w:val="both"/>
              <w:rPr>
                <w:rFonts w:ascii="Times New Roman" w:eastAsia="標楷體" w:hAnsi="Times New Roman" w:cs="Times New Roman"/>
              </w:rPr>
            </w:pPr>
            <w:r w:rsidRPr="00862B72">
              <w:rPr>
                <w:rFonts w:ascii="Times New Roman" w:eastAsia="標楷體" w:hAnsi="標楷體" w:cs="標楷體" w:hint="eastAsia"/>
              </w:rPr>
              <w:t>有關補充規定各機關公務人員自費參加健康檢查給假事宜，說明二、規定︰「……對於未滿四十歲公務人員自費參加健康檢查者，得以每二年一次公假登記一天前往受檢，並須受檢人檢附相關證明文件。」</w:t>
            </w:r>
          </w:p>
          <w:p w:rsidR="009A794E" w:rsidRPr="00862B72" w:rsidRDefault="00DB6F78" w:rsidP="00B27560">
            <w:pPr>
              <w:pStyle w:val="a5"/>
              <w:numPr>
                <w:ilvl w:val="0"/>
                <w:numId w:val="4"/>
              </w:numPr>
              <w:ind w:leftChars="0"/>
              <w:jc w:val="both"/>
              <w:rPr>
                <w:rFonts w:ascii="Times New Roman" w:eastAsia="標楷體" w:hAnsi="Times New Roman" w:cs="Times New Roman"/>
              </w:rPr>
            </w:pPr>
            <w:r>
              <w:rPr>
                <w:rFonts w:ascii="Times New Roman" w:eastAsia="標楷體" w:hAnsi="標楷體" w:cs="標楷體" w:hint="eastAsia"/>
              </w:rPr>
              <w:t>前</w:t>
            </w:r>
            <w:r w:rsidR="009A794E" w:rsidRPr="00862B72">
              <w:rPr>
                <w:rFonts w:ascii="Times New Roman" w:eastAsia="標楷體" w:hAnsi="標楷體" w:cs="標楷體" w:hint="eastAsia"/>
              </w:rPr>
              <w:t>行政院人事行政局八十九年十一月九日八九台院人政給字第二一一一三○號函，有關自九十年一月一日擴大辦理公務人員健康檢查一案，規定︰「一、檢查對象︰中央各機關編制內四十歲以上之公務人員……五、實際參加健康檢查人員，得以公假登記，並以一天為限。……」</w:t>
            </w:r>
          </w:p>
          <w:p w:rsidR="009A794E" w:rsidRPr="00862B72" w:rsidRDefault="009A794E" w:rsidP="00B27560">
            <w:pPr>
              <w:pStyle w:val="a5"/>
              <w:numPr>
                <w:ilvl w:val="0"/>
                <w:numId w:val="4"/>
              </w:numPr>
              <w:ind w:leftChars="0"/>
              <w:jc w:val="both"/>
              <w:rPr>
                <w:rFonts w:ascii="Times New Roman" w:eastAsia="標楷體" w:hAnsi="標楷體" w:cs="Times New Roman"/>
              </w:rPr>
            </w:pPr>
            <w:r w:rsidRPr="00862B72">
              <w:rPr>
                <w:rFonts w:ascii="Times New Roman" w:eastAsia="標楷體" w:hAnsi="標楷體" w:cs="標楷體" w:hint="eastAsia"/>
              </w:rPr>
              <w:t>臺南市政府及所屬機關學校公務人員健康檢查補助原則六、規定︰「依本原則參加健康檢查人員，檢查當日得覈實以公假登記，</w:t>
            </w:r>
            <w:r w:rsidR="00A71221">
              <w:rPr>
                <w:rFonts w:ascii="Times New Roman" w:eastAsia="標楷體" w:hAnsi="Times New Roman" w:cs="Times New Roman" w:hint="eastAsia"/>
              </w:rPr>
              <w:t>……</w:t>
            </w:r>
            <w:r w:rsidRPr="00862B72">
              <w:rPr>
                <w:rFonts w:ascii="Times New Roman" w:eastAsia="標楷體" w:hAnsi="標楷體" w:cs="標楷體" w:hint="eastAsia"/>
              </w:rPr>
              <w:t>受檢人員有住院事實者，以二天為限。」</w:t>
            </w:r>
          </w:p>
        </w:tc>
      </w:tr>
      <w:tr w:rsidR="009A794E" w:rsidRPr="00862B72" w:rsidTr="009A794E">
        <w:trPr>
          <w:trHeight w:val="60"/>
        </w:trPr>
        <w:tc>
          <w:tcPr>
            <w:tcW w:w="2501" w:type="pct"/>
          </w:tcPr>
          <w:p w:rsidR="009A794E" w:rsidRPr="00862B72" w:rsidRDefault="009A794E" w:rsidP="00C87378">
            <w:pPr>
              <w:ind w:leftChars="-19" w:left="379" w:hangingChars="177" w:hanging="425"/>
              <w:jc w:val="both"/>
              <w:rPr>
                <w:rFonts w:ascii="Times New Roman" w:eastAsia="標楷體" w:hAnsi="標楷體" w:cs="標楷體"/>
              </w:rPr>
            </w:pPr>
            <w:r>
              <w:rPr>
                <w:rFonts w:ascii="Times New Roman" w:eastAsia="標楷體" w:hAnsi="標楷體" w:cs="標楷體" w:hint="eastAsia"/>
              </w:rPr>
              <w:t>七</w:t>
            </w:r>
            <w:r w:rsidRPr="00862B72">
              <w:rPr>
                <w:rFonts w:ascii="Times New Roman" w:eastAsia="標楷體" w:hAnsi="標楷體" w:cs="標楷體" w:hint="eastAsia"/>
              </w:rPr>
              <w:t>、一般健康檢查之經費，在各機關</w:t>
            </w:r>
            <w:r w:rsidR="00A83FCF" w:rsidRPr="00176E31">
              <w:rPr>
                <w:rFonts w:ascii="Times New Roman" w:eastAsia="標楷體" w:hAnsi="標楷體" w:cs="標楷體" w:hint="eastAsia"/>
              </w:rPr>
              <w:t>年度</w:t>
            </w:r>
            <w:r w:rsidRPr="00862B72">
              <w:rPr>
                <w:rFonts w:ascii="Times New Roman" w:eastAsia="標楷體" w:hAnsi="標楷體" w:cs="標楷體" w:hint="eastAsia"/>
              </w:rPr>
              <w:t>預算內支應。</w:t>
            </w:r>
          </w:p>
          <w:p w:rsidR="009A794E" w:rsidRPr="00862B72" w:rsidRDefault="009A794E" w:rsidP="00C87378">
            <w:pPr>
              <w:ind w:leftChars="156" w:left="376" w:hangingChars="1" w:hanging="2"/>
              <w:jc w:val="both"/>
              <w:rPr>
                <w:rFonts w:ascii="Times New Roman" w:eastAsia="標楷體" w:hAnsi="Times New Roman" w:cs="Times New Roman"/>
              </w:rPr>
            </w:pPr>
            <w:r w:rsidRPr="00862B72">
              <w:rPr>
                <w:rFonts w:ascii="Times New Roman" w:eastAsia="標楷體" w:hAnsi="標楷體" w:cs="標楷體" w:hint="eastAsia"/>
              </w:rPr>
              <w:t>公務人員實施一般健康檢查後，應於實施當年度申請檢查費用之補助。如於申請檢查費用補助前，調任其他機關（構）者，其檢查費用仍由原任職機關（構）補助。</w:t>
            </w:r>
          </w:p>
        </w:tc>
        <w:tc>
          <w:tcPr>
            <w:tcW w:w="2499" w:type="pct"/>
          </w:tcPr>
          <w:p w:rsidR="004F2C41" w:rsidRPr="00A6502E" w:rsidRDefault="004F2C41" w:rsidP="00B27560">
            <w:pPr>
              <w:pStyle w:val="a5"/>
              <w:numPr>
                <w:ilvl w:val="0"/>
                <w:numId w:val="7"/>
              </w:numPr>
              <w:ind w:leftChars="0" w:left="472"/>
              <w:jc w:val="both"/>
              <w:rPr>
                <w:rFonts w:ascii="Times New Roman" w:eastAsia="標楷體" w:hAnsi="標楷體" w:cs="標楷體"/>
              </w:rPr>
            </w:pPr>
            <w:r w:rsidRPr="00A6502E">
              <w:rPr>
                <w:rFonts w:ascii="Times New Roman" w:eastAsia="標楷體" w:hAnsi="標楷體" w:cs="標楷體" w:hint="eastAsia"/>
              </w:rPr>
              <w:t>本辦法第三十一條</w:t>
            </w:r>
            <w:r w:rsidR="00A6502E" w:rsidRPr="00A6502E">
              <w:rPr>
                <w:rFonts w:ascii="Times New Roman" w:eastAsia="標楷體" w:hAnsi="標楷體" w:cs="標楷體" w:hint="eastAsia"/>
              </w:rPr>
              <w:t>已</w:t>
            </w:r>
            <w:r w:rsidRPr="00A6502E">
              <w:rPr>
                <w:rFonts w:ascii="Times New Roman" w:eastAsia="標楷體" w:hAnsi="標楷體" w:cs="標楷體" w:hint="eastAsia"/>
              </w:rPr>
              <w:t>規定︰「機關提供公務人員執行職務安全及衛生防護措施所需經費，在各機關預算內支應。」</w:t>
            </w:r>
            <w:r w:rsidR="00A71221">
              <w:rPr>
                <w:rFonts w:ascii="Times New Roman" w:eastAsia="標楷體" w:hAnsi="標楷體" w:cs="標楷體" w:hint="eastAsia"/>
              </w:rPr>
              <w:t>而</w:t>
            </w:r>
            <w:r w:rsidRPr="00A6502E">
              <w:rPr>
                <w:rFonts w:ascii="Times New Roman" w:eastAsia="標楷體" w:hAnsi="標楷體" w:cs="標楷體" w:hint="eastAsia"/>
              </w:rPr>
              <w:t>實施公務人員一般健康檢查，係</w:t>
            </w:r>
            <w:r w:rsidR="00A71221">
              <w:rPr>
                <w:rFonts w:ascii="Times New Roman" w:eastAsia="標楷體" w:hAnsi="標楷體" w:cs="標楷體" w:hint="eastAsia"/>
              </w:rPr>
              <w:t>為</w:t>
            </w:r>
            <w:r w:rsidRPr="00A6502E">
              <w:rPr>
                <w:rFonts w:ascii="Times New Roman" w:eastAsia="標楷體" w:hAnsi="標楷體" w:cs="標楷體" w:hint="eastAsia"/>
              </w:rPr>
              <w:t>落實公務人員健康防護事項，所需經費自</w:t>
            </w:r>
            <w:r w:rsidR="00A71221">
              <w:rPr>
                <w:rFonts w:ascii="Times New Roman" w:eastAsia="標楷體" w:hAnsi="標楷體" w:cs="標楷體" w:hint="eastAsia"/>
              </w:rPr>
              <w:t>亦</w:t>
            </w:r>
            <w:r w:rsidRPr="00A6502E">
              <w:rPr>
                <w:rFonts w:ascii="Times New Roman" w:eastAsia="標楷體" w:hAnsi="標楷體" w:cs="標楷體" w:hint="eastAsia"/>
              </w:rPr>
              <w:t>應由各機關支應，爰於第一項明定一般健康檢查之經費在各機關</w:t>
            </w:r>
            <w:r w:rsidR="00AE0F79">
              <w:rPr>
                <w:rFonts w:ascii="Times New Roman" w:eastAsia="標楷體" w:hAnsi="標楷體" w:cs="標楷體" w:hint="eastAsia"/>
              </w:rPr>
              <w:t>年度</w:t>
            </w:r>
            <w:r w:rsidRPr="00A6502E">
              <w:rPr>
                <w:rFonts w:ascii="Times New Roman" w:eastAsia="標楷體" w:hAnsi="標楷體" w:cs="標楷體" w:hint="eastAsia"/>
              </w:rPr>
              <w:t>預算內支應。</w:t>
            </w:r>
          </w:p>
          <w:p w:rsidR="009A794E" w:rsidRPr="00862B72" w:rsidRDefault="009A794E" w:rsidP="00B27560">
            <w:pPr>
              <w:pStyle w:val="a5"/>
              <w:numPr>
                <w:ilvl w:val="0"/>
                <w:numId w:val="7"/>
              </w:numPr>
              <w:ind w:leftChars="0" w:left="472"/>
              <w:jc w:val="both"/>
              <w:rPr>
                <w:rFonts w:ascii="Times New Roman" w:eastAsia="標楷體" w:hAnsi="標楷體" w:cs="標楷體"/>
              </w:rPr>
            </w:pPr>
            <w:r w:rsidRPr="00862B72">
              <w:rPr>
                <w:rFonts w:ascii="Times New Roman" w:eastAsia="標楷體" w:hAnsi="標楷體" w:cs="標楷體" w:hint="eastAsia"/>
              </w:rPr>
              <w:t>為解決公務人員於原任職機關（構）實施一般健康檢查後，在申請檢查經費補助前，調任他機關（構），其經費核銷問題，爰於第二項明定</w:t>
            </w:r>
            <w:r w:rsidR="00A71221">
              <w:rPr>
                <w:rFonts w:ascii="Times New Roman" w:eastAsia="標楷體" w:hAnsi="標楷體" w:cs="標楷體" w:hint="eastAsia"/>
              </w:rPr>
              <w:t>，</w:t>
            </w:r>
            <w:r w:rsidR="00A71221" w:rsidRPr="00A71221">
              <w:rPr>
                <w:rFonts w:ascii="Times New Roman" w:eastAsia="標楷體" w:hAnsi="標楷體" w:cs="標楷體" w:hint="eastAsia"/>
              </w:rPr>
              <w:t>公務人員應於實施一般健康檢查之當年度，申請檢查費用之補助</w:t>
            </w:r>
            <w:r w:rsidR="00DB6F78">
              <w:rPr>
                <w:rFonts w:ascii="Times New Roman" w:eastAsia="標楷體" w:hAnsi="標楷體" w:cs="標楷體" w:hint="eastAsia"/>
              </w:rPr>
              <w:t>。</w:t>
            </w:r>
            <w:r w:rsidR="00A71221" w:rsidRPr="00A71221">
              <w:rPr>
                <w:rFonts w:ascii="Times New Roman" w:eastAsia="標楷體" w:hAnsi="標楷體" w:cs="標楷體" w:hint="eastAsia"/>
              </w:rPr>
              <w:t>如於申請前調任其他機關（構）者</w:t>
            </w:r>
            <w:r w:rsidRPr="00862B72">
              <w:rPr>
                <w:rFonts w:ascii="Times New Roman" w:eastAsia="標楷體" w:hAnsi="標楷體" w:cs="標楷體" w:hint="eastAsia"/>
              </w:rPr>
              <w:t>，其檢查費用仍由原任職機關（構）補助。</w:t>
            </w:r>
          </w:p>
        </w:tc>
      </w:tr>
      <w:tr w:rsidR="009A794E" w:rsidRPr="00862B72" w:rsidTr="009A794E">
        <w:trPr>
          <w:trHeight w:val="60"/>
        </w:trPr>
        <w:tc>
          <w:tcPr>
            <w:tcW w:w="2501" w:type="pct"/>
          </w:tcPr>
          <w:p w:rsidR="009A794E" w:rsidRPr="00862B72" w:rsidRDefault="009A794E" w:rsidP="00C87378">
            <w:pPr>
              <w:ind w:left="480" w:hangingChars="200" w:hanging="480"/>
              <w:jc w:val="both"/>
              <w:rPr>
                <w:rFonts w:ascii="Times New Roman" w:eastAsia="標楷體" w:hAnsi="Times New Roman" w:cs="Times New Roman"/>
              </w:rPr>
            </w:pPr>
            <w:r>
              <w:rPr>
                <w:rFonts w:ascii="Times New Roman" w:eastAsia="標楷體" w:hAnsi="標楷體" w:cs="標楷體" w:hint="eastAsia"/>
              </w:rPr>
              <w:t>八</w:t>
            </w:r>
            <w:r w:rsidRPr="00862B72">
              <w:rPr>
                <w:rFonts w:ascii="Times New Roman" w:eastAsia="標楷體" w:hAnsi="標楷體" w:cs="標楷體" w:hint="eastAsia"/>
              </w:rPr>
              <w:t>、本辦法第三十二條第一項規定之人員，實施一般健康檢查，得由各機關比照本要點規定辦理之。</w:t>
            </w:r>
          </w:p>
        </w:tc>
        <w:tc>
          <w:tcPr>
            <w:tcW w:w="2499" w:type="pct"/>
          </w:tcPr>
          <w:p w:rsidR="009A794E" w:rsidRPr="00862B72" w:rsidRDefault="00A71221" w:rsidP="00DB6F78">
            <w:pPr>
              <w:jc w:val="both"/>
              <w:rPr>
                <w:rFonts w:ascii="Times New Roman" w:eastAsia="標楷體" w:hAnsi="標楷體" w:cs="標楷體"/>
              </w:rPr>
            </w:pPr>
            <w:r>
              <w:rPr>
                <w:rFonts w:ascii="Times New Roman" w:eastAsia="標楷體" w:hAnsi="標楷體" w:cs="標楷體" w:hint="eastAsia"/>
              </w:rPr>
              <w:t>為保障本要點第</w:t>
            </w:r>
            <w:r w:rsidR="00DB6F78">
              <w:rPr>
                <w:rFonts w:ascii="Times New Roman" w:eastAsia="標楷體" w:hAnsi="標楷體" w:cs="標楷體" w:hint="eastAsia"/>
              </w:rPr>
              <w:t>三</w:t>
            </w:r>
            <w:r>
              <w:rPr>
                <w:rFonts w:ascii="Times New Roman" w:eastAsia="標楷體" w:hAnsi="標楷體" w:cs="標楷體" w:hint="eastAsia"/>
              </w:rPr>
              <w:t>點規定以外人員之權益，</w:t>
            </w:r>
            <w:r w:rsidR="009A794E" w:rsidRPr="00862B72">
              <w:rPr>
                <w:rFonts w:ascii="Times New Roman" w:eastAsia="標楷體" w:hAnsi="標楷體" w:cs="標楷體" w:hint="eastAsia"/>
              </w:rPr>
              <w:t>明定本辦法第三十二條第一項所定比照適用本辦法之人員</w:t>
            </w:r>
            <w:r>
              <w:rPr>
                <w:rFonts w:ascii="Times New Roman" w:eastAsia="標楷體" w:hAnsi="標楷體" w:cs="標楷體" w:hint="eastAsia"/>
              </w:rPr>
              <w:t>︰</w:t>
            </w:r>
            <w:r w:rsidR="009A794E" w:rsidRPr="00862B72">
              <w:rPr>
                <w:rFonts w:ascii="Times New Roman" w:eastAsia="標楷體" w:hAnsi="標楷體" w:cs="標楷體" w:hint="eastAsia"/>
              </w:rPr>
              <w:t>政務人員、民選公職人員、依教育人員任用條例任用非屬本辦法第二條規定之教育人員、其他於各級政府機關、公立學校、公營事業機構依法令從事於公務之人員及軍職人員，如有實施一般健康檢查之需要，得由各機關比照本要點規定辦理之。</w:t>
            </w:r>
          </w:p>
        </w:tc>
      </w:tr>
    </w:tbl>
    <w:p w:rsidR="0069202F" w:rsidRPr="00862B72" w:rsidRDefault="0069202F" w:rsidP="00770CD0">
      <w:pPr>
        <w:jc w:val="both"/>
        <w:rPr>
          <w:rFonts w:ascii="Times New Roman" w:hAnsi="Times New Roman" w:cs="Times New Roman"/>
        </w:rPr>
      </w:pPr>
    </w:p>
    <w:p w:rsidR="00862B72" w:rsidRPr="00862B72" w:rsidRDefault="00862B72">
      <w:pPr>
        <w:jc w:val="both"/>
        <w:rPr>
          <w:rFonts w:ascii="Times New Roman" w:hAnsi="Times New Roman" w:cs="Times New Roman"/>
        </w:rPr>
      </w:pPr>
    </w:p>
    <w:sectPr w:rsidR="00862B72" w:rsidRPr="00862B72" w:rsidSect="009A794E">
      <w:footerReference w:type="default" r:id="rId9"/>
      <w:pgSz w:w="11906" w:h="16838"/>
      <w:pgMar w:top="1440" w:right="1134" w:bottom="1440"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5398" w:rsidRDefault="00565398" w:rsidP="00762818">
      <w:pPr>
        <w:rPr>
          <w:rFonts w:cs="Times New Roman"/>
        </w:rPr>
      </w:pPr>
      <w:r>
        <w:rPr>
          <w:rFonts w:cs="Times New Roman"/>
        </w:rPr>
        <w:separator/>
      </w:r>
    </w:p>
  </w:endnote>
  <w:endnote w:type="continuationSeparator" w:id="0">
    <w:p w:rsidR="00565398" w:rsidRDefault="00565398" w:rsidP="00762818">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3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202F" w:rsidRDefault="00E92E53">
    <w:pPr>
      <w:pStyle w:val="a8"/>
      <w:jc w:val="center"/>
      <w:rPr>
        <w:rFonts w:cs="Times New Roman"/>
      </w:rPr>
    </w:pPr>
    <w:r>
      <w:fldChar w:fldCharType="begin"/>
    </w:r>
    <w:r w:rsidR="001D24AF">
      <w:instrText>PAGE   \* MERGEFORMAT</w:instrText>
    </w:r>
    <w:r>
      <w:fldChar w:fldCharType="separate"/>
    </w:r>
    <w:r w:rsidR="00D76DED" w:rsidRPr="00D76DED">
      <w:rPr>
        <w:noProof/>
        <w:lang w:val="zh-TW"/>
      </w:rPr>
      <w:t>1</w:t>
    </w:r>
    <w:r>
      <w:rPr>
        <w:noProof/>
        <w:lang w:val="zh-TW"/>
      </w:rPr>
      <w:fldChar w:fldCharType="end"/>
    </w:r>
  </w:p>
  <w:p w:rsidR="0069202F" w:rsidRDefault="0069202F">
    <w:pPr>
      <w:pStyle w:val="a8"/>
      <w:rPr>
        <w:rFonts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5398" w:rsidRDefault="00565398" w:rsidP="00762818">
      <w:pPr>
        <w:rPr>
          <w:rFonts w:cs="Times New Roman"/>
        </w:rPr>
      </w:pPr>
      <w:r>
        <w:rPr>
          <w:rFonts w:cs="Times New Roman"/>
        </w:rPr>
        <w:separator/>
      </w:r>
    </w:p>
  </w:footnote>
  <w:footnote w:type="continuationSeparator" w:id="0">
    <w:p w:rsidR="00565398" w:rsidRDefault="00565398" w:rsidP="00762818">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26D1D"/>
    <w:multiLevelType w:val="hybridMultilevel"/>
    <w:tmpl w:val="3CD290BC"/>
    <w:lvl w:ilvl="0" w:tplc="069A9496">
      <w:start w:val="1"/>
      <w:numFmt w:val="taiwaneseCountingThousand"/>
      <w:lvlText w:val="%1、"/>
      <w:lvlJc w:val="left"/>
      <w:pPr>
        <w:ind w:left="510" w:hanging="51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237D2601"/>
    <w:multiLevelType w:val="hybridMultilevel"/>
    <w:tmpl w:val="79120FD4"/>
    <w:lvl w:ilvl="0" w:tplc="A728471E">
      <w:start w:val="1"/>
      <w:numFmt w:val="taiwaneseCountingThousand"/>
      <w:lvlText w:val="（%1）"/>
      <w:lvlJc w:val="left"/>
      <w:pPr>
        <w:ind w:left="1004" w:hanging="720"/>
      </w:pPr>
      <w:rPr>
        <w:rFonts w:hint="default"/>
      </w:rPr>
    </w:lvl>
    <w:lvl w:ilvl="1" w:tplc="04090019" w:tentative="1">
      <w:start w:val="1"/>
      <w:numFmt w:val="ideographTraditional"/>
      <w:lvlText w:val="%2、"/>
      <w:lvlJc w:val="left"/>
      <w:pPr>
        <w:ind w:left="1258" w:hanging="480"/>
      </w:pPr>
    </w:lvl>
    <w:lvl w:ilvl="2" w:tplc="0409001B" w:tentative="1">
      <w:start w:val="1"/>
      <w:numFmt w:val="lowerRoman"/>
      <w:lvlText w:val="%3."/>
      <w:lvlJc w:val="right"/>
      <w:pPr>
        <w:ind w:left="1738" w:hanging="480"/>
      </w:pPr>
    </w:lvl>
    <w:lvl w:ilvl="3" w:tplc="0409000F" w:tentative="1">
      <w:start w:val="1"/>
      <w:numFmt w:val="decimal"/>
      <w:lvlText w:val="%4."/>
      <w:lvlJc w:val="left"/>
      <w:pPr>
        <w:ind w:left="2218" w:hanging="480"/>
      </w:pPr>
    </w:lvl>
    <w:lvl w:ilvl="4" w:tplc="04090019" w:tentative="1">
      <w:start w:val="1"/>
      <w:numFmt w:val="ideographTraditional"/>
      <w:lvlText w:val="%5、"/>
      <w:lvlJc w:val="left"/>
      <w:pPr>
        <w:ind w:left="2698" w:hanging="480"/>
      </w:pPr>
    </w:lvl>
    <w:lvl w:ilvl="5" w:tplc="0409001B" w:tentative="1">
      <w:start w:val="1"/>
      <w:numFmt w:val="lowerRoman"/>
      <w:lvlText w:val="%6."/>
      <w:lvlJc w:val="right"/>
      <w:pPr>
        <w:ind w:left="3178" w:hanging="480"/>
      </w:pPr>
    </w:lvl>
    <w:lvl w:ilvl="6" w:tplc="0409000F" w:tentative="1">
      <w:start w:val="1"/>
      <w:numFmt w:val="decimal"/>
      <w:lvlText w:val="%7."/>
      <w:lvlJc w:val="left"/>
      <w:pPr>
        <w:ind w:left="3658" w:hanging="480"/>
      </w:pPr>
    </w:lvl>
    <w:lvl w:ilvl="7" w:tplc="04090019" w:tentative="1">
      <w:start w:val="1"/>
      <w:numFmt w:val="ideographTraditional"/>
      <w:lvlText w:val="%8、"/>
      <w:lvlJc w:val="left"/>
      <w:pPr>
        <w:ind w:left="4138" w:hanging="480"/>
      </w:pPr>
    </w:lvl>
    <w:lvl w:ilvl="8" w:tplc="0409001B" w:tentative="1">
      <w:start w:val="1"/>
      <w:numFmt w:val="lowerRoman"/>
      <w:lvlText w:val="%9."/>
      <w:lvlJc w:val="right"/>
      <w:pPr>
        <w:ind w:left="4618" w:hanging="480"/>
      </w:pPr>
    </w:lvl>
  </w:abstractNum>
  <w:abstractNum w:abstractNumId="2">
    <w:nsid w:val="257D6AC6"/>
    <w:multiLevelType w:val="hybridMultilevel"/>
    <w:tmpl w:val="1D50DC2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3C856B93"/>
    <w:multiLevelType w:val="hybridMultilevel"/>
    <w:tmpl w:val="C3AC4ECA"/>
    <w:lvl w:ilvl="0" w:tplc="2602A84C">
      <w:start w:val="1"/>
      <w:numFmt w:val="taiwaneseCountingThousand"/>
      <w:lvlText w:val="%1、"/>
      <w:lvlJc w:val="left"/>
      <w:pPr>
        <w:ind w:left="1047" w:hanging="480"/>
      </w:pPr>
      <w:rPr>
        <w:rFonts w:hint="eastAsia"/>
        <w:lang w:val="en-US"/>
      </w:rPr>
    </w:lvl>
    <w:lvl w:ilvl="1" w:tplc="04090019" w:tentative="1">
      <w:start w:val="1"/>
      <w:numFmt w:val="ideographTraditional"/>
      <w:lvlText w:val="%2、"/>
      <w:lvlJc w:val="left"/>
      <w:pPr>
        <w:ind w:left="2037" w:hanging="480"/>
      </w:pPr>
    </w:lvl>
    <w:lvl w:ilvl="2" w:tplc="0409001B" w:tentative="1">
      <w:start w:val="1"/>
      <w:numFmt w:val="lowerRoman"/>
      <w:lvlText w:val="%3."/>
      <w:lvlJc w:val="right"/>
      <w:pPr>
        <w:ind w:left="2517" w:hanging="480"/>
      </w:pPr>
    </w:lvl>
    <w:lvl w:ilvl="3" w:tplc="0409000F" w:tentative="1">
      <w:start w:val="1"/>
      <w:numFmt w:val="decimal"/>
      <w:lvlText w:val="%4."/>
      <w:lvlJc w:val="left"/>
      <w:pPr>
        <w:ind w:left="2997" w:hanging="480"/>
      </w:pPr>
    </w:lvl>
    <w:lvl w:ilvl="4" w:tplc="04090019" w:tentative="1">
      <w:start w:val="1"/>
      <w:numFmt w:val="ideographTraditional"/>
      <w:lvlText w:val="%5、"/>
      <w:lvlJc w:val="left"/>
      <w:pPr>
        <w:ind w:left="3477" w:hanging="480"/>
      </w:pPr>
    </w:lvl>
    <w:lvl w:ilvl="5" w:tplc="0409001B" w:tentative="1">
      <w:start w:val="1"/>
      <w:numFmt w:val="lowerRoman"/>
      <w:lvlText w:val="%6."/>
      <w:lvlJc w:val="right"/>
      <w:pPr>
        <w:ind w:left="3957" w:hanging="480"/>
      </w:pPr>
    </w:lvl>
    <w:lvl w:ilvl="6" w:tplc="0409000F" w:tentative="1">
      <w:start w:val="1"/>
      <w:numFmt w:val="decimal"/>
      <w:lvlText w:val="%7."/>
      <w:lvlJc w:val="left"/>
      <w:pPr>
        <w:ind w:left="4437" w:hanging="480"/>
      </w:pPr>
    </w:lvl>
    <w:lvl w:ilvl="7" w:tplc="04090019" w:tentative="1">
      <w:start w:val="1"/>
      <w:numFmt w:val="ideographTraditional"/>
      <w:lvlText w:val="%8、"/>
      <w:lvlJc w:val="left"/>
      <w:pPr>
        <w:ind w:left="4917" w:hanging="480"/>
      </w:pPr>
    </w:lvl>
    <w:lvl w:ilvl="8" w:tplc="0409001B" w:tentative="1">
      <w:start w:val="1"/>
      <w:numFmt w:val="lowerRoman"/>
      <w:lvlText w:val="%9."/>
      <w:lvlJc w:val="right"/>
      <w:pPr>
        <w:ind w:left="5397" w:hanging="480"/>
      </w:pPr>
    </w:lvl>
  </w:abstractNum>
  <w:abstractNum w:abstractNumId="4">
    <w:nsid w:val="5282794F"/>
    <w:multiLevelType w:val="hybridMultilevel"/>
    <w:tmpl w:val="9F82CEF6"/>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533023BE"/>
    <w:multiLevelType w:val="hybridMultilevel"/>
    <w:tmpl w:val="52A61420"/>
    <w:lvl w:ilvl="0" w:tplc="350A2672">
      <w:start w:val="1"/>
      <w:numFmt w:val="taiwaneseCountingThousand"/>
      <w:lvlText w:val="（%1）"/>
      <w:lvlJc w:val="left"/>
      <w:pPr>
        <w:ind w:left="1080" w:hanging="72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nsid w:val="5E116DD5"/>
    <w:multiLevelType w:val="hybridMultilevel"/>
    <w:tmpl w:val="D36C6980"/>
    <w:lvl w:ilvl="0" w:tplc="71CE6A98">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67317FDD"/>
    <w:multiLevelType w:val="hybridMultilevel"/>
    <w:tmpl w:val="043A6CB4"/>
    <w:lvl w:ilvl="0" w:tplc="C4CEA68A">
      <w:start w:val="1"/>
      <w:numFmt w:val="taiwaneseCountingThousand"/>
      <w:lvlText w:val="（%1）"/>
      <w:lvlJc w:val="left"/>
      <w:pPr>
        <w:ind w:left="1080" w:hanging="720"/>
      </w:pPr>
      <w:rPr>
        <w:rFonts w:hint="default"/>
        <w:b w:val="0"/>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8">
    <w:nsid w:val="6CD62454"/>
    <w:multiLevelType w:val="hybridMultilevel"/>
    <w:tmpl w:val="460EF5F8"/>
    <w:lvl w:ilvl="0" w:tplc="AE940A1C">
      <w:start w:val="1"/>
      <w:numFmt w:val="taiwaneseCountingThousand"/>
      <w:lvlText w:val="（%1）"/>
      <w:lvlJc w:val="left"/>
      <w:pPr>
        <w:ind w:left="1004" w:hanging="720"/>
      </w:pPr>
      <w:rPr>
        <w:rFonts w:hint="default"/>
        <w:lang w:val="en-US"/>
      </w:rPr>
    </w:lvl>
    <w:lvl w:ilvl="1" w:tplc="04090019" w:tentative="1">
      <w:start w:val="1"/>
      <w:numFmt w:val="ideographTraditional"/>
      <w:lvlText w:val="%2、"/>
      <w:lvlJc w:val="left"/>
      <w:pPr>
        <w:ind w:left="1258" w:hanging="480"/>
      </w:pPr>
    </w:lvl>
    <w:lvl w:ilvl="2" w:tplc="0409001B" w:tentative="1">
      <w:start w:val="1"/>
      <w:numFmt w:val="lowerRoman"/>
      <w:lvlText w:val="%3."/>
      <w:lvlJc w:val="right"/>
      <w:pPr>
        <w:ind w:left="1738" w:hanging="480"/>
      </w:pPr>
    </w:lvl>
    <w:lvl w:ilvl="3" w:tplc="0409000F" w:tentative="1">
      <w:start w:val="1"/>
      <w:numFmt w:val="decimal"/>
      <w:lvlText w:val="%4."/>
      <w:lvlJc w:val="left"/>
      <w:pPr>
        <w:ind w:left="2218" w:hanging="480"/>
      </w:pPr>
    </w:lvl>
    <w:lvl w:ilvl="4" w:tplc="04090019" w:tentative="1">
      <w:start w:val="1"/>
      <w:numFmt w:val="ideographTraditional"/>
      <w:lvlText w:val="%5、"/>
      <w:lvlJc w:val="left"/>
      <w:pPr>
        <w:ind w:left="2698" w:hanging="480"/>
      </w:pPr>
    </w:lvl>
    <w:lvl w:ilvl="5" w:tplc="0409001B" w:tentative="1">
      <w:start w:val="1"/>
      <w:numFmt w:val="lowerRoman"/>
      <w:lvlText w:val="%6."/>
      <w:lvlJc w:val="right"/>
      <w:pPr>
        <w:ind w:left="3178" w:hanging="480"/>
      </w:pPr>
    </w:lvl>
    <w:lvl w:ilvl="6" w:tplc="0409000F" w:tentative="1">
      <w:start w:val="1"/>
      <w:numFmt w:val="decimal"/>
      <w:lvlText w:val="%7."/>
      <w:lvlJc w:val="left"/>
      <w:pPr>
        <w:ind w:left="3658" w:hanging="480"/>
      </w:pPr>
    </w:lvl>
    <w:lvl w:ilvl="7" w:tplc="04090019" w:tentative="1">
      <w:start w:val="1"/>
      <w:numFmt w:val="ideographTraditional"/>
      <w:lvlText w:val="%8、"/>
      <w:lvlJc w:val="left"/>
      <w:pPr>
        <w:ind w:left="4138" w:hanging="480"/>
      </w:pPr>
    </w:lvl>
    <w:lvl w:ilvl="8" w:tplc="0409001B" w:tentative="1">
      <w:start w:val="1"/>
      <w:numFmt w:val="lowerRoman"/>
      <w:lvlText w:val="%9."/>
      <w:lvlJc w:val="right"/>
      <w:pPr>
        <w:ind w:left="4618" w:hanging="480"/>
      </w:pPr>
    </w:lvl>
  </w:abstractNum>
  <w:abstractNum w:abstractNumId="9">
    <w:nsid w:val="74D02DF7"/>
    <w:multiLevelType w:val="hybridMultilevel"/>
    <w:tmpl w:val="52A61420"/>
    <w:lvl w:ilvl="0" w:tplc="350A2672">
      <w:start w:val="1"/>
      <w:numFmt w:val="taiwaneseCountingThousand"/>
      <w:lvlText w:val="（%1）"/>
      <w:lvlJc w:val="left"/>
      <w:pPr>
        <w:ind w:left="1080" w:hanging="72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2"/>
  </w:num>
  <w:num w:numId="2">
    <w:abstractNumId w:val="7"/>
  </w:num>
  <w:num w:numId="3">
    <w:abstractNumId w:val="4"/>
  </w:num>
  <w:num w:numId="4">
    <w:abstractNumId w:val="9"/>
  </w:num>
  <w:num w:numId="5">
    <w:abstractNumId w:val="5"/>
  </w:num>
  <w:num w:numId="6">
    <w:abstractNumId w:val="0"/>
  </w:num>
  <w:num w:numId="7">
    <w:abstractNumId w:val="3"/>
  </w:num>
  <w:num w:numId="8">
    <w:abstractNumId w:val="6"/>
  </w:num>
  <w:num w:numId="9">
    <w:abstractNumId w:val="8"/>
  </w:num>
  <w:num w:numId="1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trackRevisions/>
  <w:defaultTabStop w:val="0"/>
  <w:drawingGridHorizontalSpacing w:val="120"/>
  <w:displayHorizontalDrawingGridEvery w:val="0"/>
  <w:displayVerticalDrawingGridEvery w:val="2"/>
  <w:characterSpacingControl w:val="compressPunctuation"/>
  <w:noLineBreaksAfter w:lang="zh-TW" w:val="([{£¥‘“‵〈《「『【〔〝︵︷︹︻︽︿﹁﹃﹙﹛﹝（｛"/>
  <w:noLineBreaksBefore w:lang="zh-TW" w:val="!),.:;?]}¢·–—’”•‥…‧′╴、。〉》」』】〕〞︰︱︳︴︶︸︺︼︾﹀﹂﹄﹏﹐﹑﹒﹔﹕﹖﹗﹚﹜﹞！），．：；？］｜｝､"/>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BC1"/>
    <w:rsid w:val="00003213"/>
    <w:rsid w:val="00011E80"/>
    <w:rsid w:val="000206EA"/>
    <w:rsid w:val="00021B3C"/>
    <w:rsid w:val="00022E1B"/>
    <w:rsid w:val="00037BA2"/>
    <w:rsid w:val="00043B9E"/>
    <w:rsid w:val="0004410D"/>
    <w:rsid w:val="00045787"/>
    <w:rsid w:val="00054AF5"/>
    <w:rsid w:val="00066D75"/>
    <w:rsid w:val="00071202"/>
    <w:rsid w:val="00094061"/>
    <w:rsid w:val="000A29A3"/>
    <w:rsid w:val="000A2C1B"/>
    <w:rsid w:val="000A42A0"/>
    <w:rsid w:val="000B3243"/>
    <w:rsid w:val="000C1452"/>
    <w:rsid w:val="000D17F8"/>
    <w:rsid w:val="000E22A7"/>
    <w:rsid w:val="000E69A4"/>
    <w:rsid w:val="00110CA2"/>
    <w:rsid w:val="001246C7"/>
    <w:rsid w:val="00127DFC"/>
    <w:rsid w:val="001343B8"/>
    <w:rsid w:val="00134A45"/>
    <w:rsid w:val="00145E85"/>
    <w:rsid w:val="00147BF8"/>
    <w:rsid w:val="001519AE"/>
    <w:rsid w:val="00152F65"/>
    <w:rsid w:val="0015510F"/>
    <w:rsid w:val="00164DB3"/>
    <w:rsid w:val="00174D24"/>
    <w:rsid w:val="00176E31"/>
    <w:rsid w:val="001932D9"/>
    <w:rsid w:val="001A747C"/>
    <w:rsid w:val="001C1564"/>
    <w:rsid w:val="001C6DAC"/>
    <w:rsid w:val="001D24AF"/>
    <w:rsid w:val="001D4658"/>
    <w:rsid w:val="001D4AD6"/>
    <w:rsid w:val="001E40BB"/>
    <w:rsid w:val="00214C43"/>
    <w:rsid w:val="00217769"/>
    <w:rsid w:val="0022264F"/>
    <w:rsid w:val="00223641"/>
    <w:rsid w:val="00234C39"/>
    <w:rsid w:val="00234FE3"/>
    <w:rsid w:val="00263137"/>
    <w:rsid w:val="00266CA1"/>
    <w:rsid w:val="00272AF5"/>
    <w:rsid w:val="00280992"/>
    <w:rsid w:val="0028262B"/>
    <w:rsid w:val="00296951"/>
    <w:rsid w:val="002A12F7"/>
    <w:rsid w:val="002C3F12"/>
    <w:rsid w:val="002D17C2"/>
    <w:rsid w:val="002D50A4"/>
    <w:rsid w:val="002D5D95"/>
    <w:rsid w:val="002D6EFF"/>
    <w:rsid w:val="002F522F"/>
    <w:rsid w:val="002F63D4"/>
    <w:rsid w:val="00306C20"/>
    <w:rsid w:val="00321408"/>
    <w:rsid w:val="0032447C"/>
    <w:rsid w:val="003262C2"/>
    <w:rsid w:val="00327DE2"/>
    <w:rsid w:val="00334C90"/>
    <w:rsid w:val="00337A04"/>
    <w:rsid w:val="00345665"/>
    <w:rsid w:val="00346642"/>
    <w:rsid w:val="00356B5A"/>
    <w:rsid w:val="003603F6"/>
    <w:rsid w:val="0036215E"/>
    <w:rsid w:val="00366316"/>
    <w:rsid w:val="00367439"/>
    <w:rsid w:val="003728BD"/>
    <w:rsid w:val="00372A32"/>
    <w:rsid w:val="00373624"/>
    <w:rsid w:val="00374996"/>
    <w:rsid w:val="00375D7C"/>
    <w:rsid w:val="00391D5C"/>
    <w:rsid w:val="00394C05"/>
    <w:rsid w:val="00395586"/>
    <w:rsid w:val="003A738C"/>
    <w:rsid w:val="003B43DF"/>
    <w:rsid w:val="003B5F91"/>
    <w:rsid w:val="003C147F"/>
    <w:rsid w:val="003C29AF"/>
    <w:rsid w:val="003C522D"/>
    <w:rsid w:val="003C5BC1"/>
    <w:rsid w:val="00404CCB"/>
    <w:rsid w:val="00410D37"/>
    <w:rsid w:val="0043034D"/>
    <w:rsid w:val="0043177E"/>
    <w:rsid w:val="00431CD3"/>
    <w:rsid w:val="00431D66"/>
    <w:rsid w:val="004369C3"/>
    <w:rsid w:val="00450820"/>
    <w:rsid w:val="0045102A"/>
    <w:rsid w:val="0045333F"/>
    <w:rsid w:val="00456D8B"/>
    <w:rsid w:val="00466BBE"/>
    <w:rsid w:val="00472B4A"/>
    <w:rsid w:val="00480644"/>
    <w:rsid w:val="0048375D"/>
    <w:rsid w:val="00491EFF"/>
    <w:rsid w:val="0049717F"/>
    <w:rsid w:val="004B28C0"/>
    <w:rsid w:val="004D1D85"/>
    <w:rsid w:val="004D47B5"/>
    <w:rsid w:val="004E11A1"/>
    <w:rsid w:val="004F1B77"/>
    <w:rsid w:val="004F2C41"/>
    <w:rsid w:val="005011D4"/>
    <w:rsid w:val="005031C4"/>
    <w:rsid w:val="005070BC"/>
    <w:rsid w:val="00525CA4"/>
    <w:rsid w:val="00540F49"/>
    <w:rsid w:val="00545252"/>
    <w:rsid w:val="005627A1"/>
    <w:rsid w:val="00565398"/>
    <w:rsid w:val="00576664"/>
    <w:rsid w:val="00576788"/>
    <w:rsid w:val="005852FE"/>
    <w:rsid w:val="00595D36"/>
    <w:rsid w:val="005A52E3"/>
    <w:rsid w:val="005B726E"/>
    <w:rsid w:val="005E12E7"/>
    <w:rsid w:val="005E6D42"/>
    <w:rsid w:val="005E6DB8"/>
    <w:rsid w:val="005F0A18"/>
    <w:rsid w:val="005F186A"/>
    <w:rsid w:val="006010C7"/>
    <w:rsid w:val="006071B1"/>
    <w:rsid w:val="00631FF0"/>
    <w:rsid w:val="0064563D"/>
    <w:rsid w:val="00646E80"/>
    <w:rsid w:val="006523A7"/>
    <w:rsid w:val="006609AD"/>
    <w:rsid w:val="00667CE9"/>
    <w:rsid w:val="00680BD5"/>
    <w:rsid w:val="0069202F"/>
    <w:rsid w:val="006A0FA0"/>
    <w:rsid w:val="006A3734"/>
    <w:rsid w:val="006A3A51"/>
    <w:rsid w:val="006B22C4"/>
    <w:rsid w:val="006C4B13"/>
    <w:rsid w:val="006D3139"/>
    <w:rsid w:val="006D55B6"/>
    <w:rsid w:val="006E352A"/>
    <w:rsid w:val="006E5043"/>
    <w:rsid w:val="00702715"/>
    <w:rsid w:val="00704A57"/>
    <w:rsid w:val="00713788"/>
    <w:rsid w:val="00733655"/>
    <w:rsid w:val="00741F2F"/>
    <w:rsid w:val="00742482"/>
    <w:rsid w:val="00751ED0"/>
    <w:rsid w:val="00754318"/>
    <w:rsid w:val="00762818"/>
    <w:rsid w:val="00770CD0"/>
    <w:rsid w:val="007723CD"/>
    <w:rsid w:val="0077587B"/>
    <w:rsid w:val="00795491"/>
    <w:rsid w:val="007A117C"/>
    <w:rsid w:val="007A35BD"/>
    <w:rsid w:val="007A5196"/>
    <w:rsid w:val="007A6867"/>
    <w:rsid w:val="007B219A"/>
    <w:rsid w:val="007B5587"/>
    <w:rsid w:val="007C4FCF"/>
    <w:rsid w:val="007D1208"/>
    <w:rsid w:val="007D3396"/>
    <w:rsid w:val="007D4895"/>
    <w:rsid w:val="007D5A71"/>
    <w:rsid w:val="007D792E"/>
    <w:rsid w:val="007E0562"/>
    <w:rsid w:val="007F4BEC"/>
    <w:rsid w:val="00812AB2"/>
    <w:rsid w:val="00827CA0"/>
    <w:rsid w:val="0084022A"/>
    <w:rsid w:val="00852071"/>
    <w:rsid w:val="00862B72"/>
    <w:rsid w:val="0086517B"/>
    <w:rsid w:val="00866F62"/>
    <w:rsid w:val="0087482F"/>
    <w:rsid w:val="00880D83"/>
    <w:rsid w:val="00885896"/>
    <w:rsid w:val="008875AD"/>
    <w:rsid w:val="008912BF"/>
    <w:rsid w:val="00894087"/>
    <w:rsid w:val="008B00DE"/>
    <w:rsid w:val="008B67E3"/>
    <w:rsid w:val="008C46D6"/>
    <w:rsid w:val="008D5CBE"/>
    <w:rsid w:val="008D5E26"/>
    <w:rsid w:val="008E2BE2"/>
    <w:rsid w:val="008E2FBB"/>
    <w:rsid w:val="009040EE"/>
    <w:rsid w:val="00906C1C"/>
    <w:rsid w:val="00907715"/>
    <w:rsid w:val="00923EDF"/>
    <w:rsid w:val="009333A9"/>
    <w:rsid w:val="00945B88"/>
    <w:rsid w:val="00954A16"/>
    <w:rsid w:val="00957CD3"/>
    <w:rsid w:val="00996ADA"/>
    <w:rsid w:val="009A687C"/>
    <w:rsid w:val="009A794E"/>
    <w:rsid w:val="009B57B5"/>
    <w:rsid w:val="009B6A54"/>
    <w:rsid w:val="009B7BDE"/>
    <w:rsid w:val="009C1EED"/>
    <w:rsid w:val="009C5B8A"/>
    <w:rsid w:val="009C7038"/>
    <w:rsid w:val="009D2CB7"/>
    <w:rsid w:val="009D37D0"/>
    <w:rsid w:val="00A06264"/>
    <w:rsid w:val="00A10F58"/>
    <w:rsid w:val="00A15221"/>
    <w:rsid w:val="00A1708E"/>
    <w:rsid w:val="00A25BAE"/>
    <w:rsid w:val="00A31B3A"/>
    <w:rsid w:val="00A32B55"/>
    <w:rsid w:val="00A40B9D"/>
    <w:rsid w:val="00A45F60"/>
    <w:rsid w:val="00A51F5B"/>
    <w:rsid w:val="00A55145"/>
    <w:rsid w:val="00A6502E"/>
    <w:rsid w:val="00A71221"/>
    <w:rsid w:val="00A80711"/>
    <w:rsid w:val="00A828A8"/>
    <w:rsid w:val="00A83FCF"/>
    <w:rsid w:val="00A971B0"/>
    <w:rsid w:val="00AA51AB"/>
    <w:rsid w:val="00AB0C50"/>
    <w:rsid w:val="00AB3D5F"/>
    <w:rsid w:val="00AE0F79"/>
    <w:rsid w:val="00AE137C"/>
    <w:rsid w:val="00AE7759"/>
    <w:rsid w:val="00B05865"/>
    <w:rsid w:val="00B05CF4"/>
    <w:rsid w:val="00B236D5"/>
    <w:rsid w:val="00B246B6"/>
    <w:rsid w:val="00B26932"/>
    <w:rsid w:val="00B27347"/>
    <w:rsid w:val="00B27560"/>
    <w:rsid w:val="00B32224"/>
    <w:rsid w:val="00B35B4B"/>
    <w:rsid w:val="00B41432"/>
    <w:rsid w:val="00B465CD"/>
    <w:rsid w:val="00B618BA"/>
    <w:rsid w:val="00B635CA"/>
    <w:rsid w:val="00B66D2B"/>
    <w:rsid w:val="00B7337E"/>
    <w:rsid w:val="00B74006"/>
    <w:rsid w:val="00B76165"/>
    <w:rsid w:val="00B7724B"/>
    <w:rsid w:val="00B92B9C"/>
    <w:rsid w:val="00BD1BD1"/>
    <w:rsid w:val="00BE65B8"/>
    <w:rsid w:val="00BF1808"/>
    <w:rsid w:val="00C0321B"/>
    <w:rsid w:val="00C208A7"/>
    <w:rsid w:val="00C32605"/>
    <w:rsid w:val="00C36552"/>
    <w:rsid w:val="00C5005F"/>
    <w:rsid w:val="00C52D12"/>
    <w:rsid w:val="00C6136A"/>
    <w:rsid w:val="00C74B1F"/>
    <w:rsid w:val="00C77F8D"/>
    <w:rsid w:val="00C83A2F"/>
    <w:rsid w:val="00C877AE"/>
    <w:rsid w:val="00C92770"/>
    <w:rsid w:val="00C937A4"/>
    <w:rsid w:val="00CB3508"/>
    <w:rsid w:val="00CB5DC4"/>
    <w:rsid w:val="00D068E1"/>
    <w:rsid w:val="00D12AAB"/>
    <w:rsid w:val="00D30008"/>
    <w:rsid w:val="00D34C52"/>
    <w:rsid w:val="00D47D2F"/>
    <w:rsid w:val="00D63C71"/>
    <w:rsid w:val="00D7264B"/>
    <w:rsid w:val="00D76DED"/>
    <w:rsid w:val="00D777D8"/>
    <w:rsid w:val="00D77DE9"/>
    <w:rsid w:val="00D84865"/>
    <w:rsid w:val="00D87245"/>
    <w:rsid w:val="00DA1F47"/>
    <w:rsid w:val="00DB3B51"/>
    <w:rsid w:val="00DB6F78"/>
    <w:rsid w:val="00DE22C0"/>
    <w:rsid w:val="00E116D7"/>
    <w:rsid w:val="00E30518"/>
    <w:rsid w:val="00E3263F"/>
    <w:rsid w:val="00E34C01"/>
    <w:rsid w:val="00E46753"/>
    <w:rsid w:val="00E7083B"/>
    <w:rsid w:val="00E71A2D"/>
    <w:rsid w:val="00E7514D"/>
    <w:rsid w:val="00E75730"/>
    <w:rsid w:val="00E867DA"/>
    <w:rsid w:val="00E868A2"/>
    <w:rsid w:val="00E92E53"/>
    <w:rsid w:val="00ED78E1"/>
    <w:rsid w:val="00EF0051"/>
    <w:rsid w:val="00EF06F4"/>
    <w:rsid w:val="00EF2C0D"/>
    <w:rsid w:val="00F05C93"/>
    <w:rsid w:val="00F16818"/>
    <w:rsid w:val="00F210F0"/>
    <w:rsid w:val="00F45634"/>
    <w:rsid w:val="00F45FA0"/>
    <w:rsid w:val="00F72700"/>
    <w:rsid w:val="00FA3C56"/>
    <w:rsid w:val="00FA70E8"/>
    <w:rsid w:val="00FC5A45"/>
    <w:rsid w:val="00FF3BA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6C1C"/>
    <w:pPr>
      <w:widowControl w:val="0"/>
    </w:pPr>
    <w:rPr>
      <w:rFonts w:cs="Calibr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rsid w:val="003C5BC1"/>
    <w:rPr>
      <w:rFonts w:cs="Calibri"/>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Light Shading Accent 2"/>
    <w:basedOn w:val="a1"/>
    <w:uiPriority w:val="99"/>
    <w:rsid w:val="003C5BC1"/>
    <w:rPr>
      <w:rFonts w:cs="Calibri"/>
      <w:color w:val="943634"/>
      <w:kern w:val="0"/>
      <w:sz w:val="20"/>
      <w:szCs w:val="20"/>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a4">
    <w:name w:val="Light Shading"/>
    <w:basedOn w:val="a1"/>
    <w:uiPriority w:val="99"/>
    <w:rsid w:val="003C5BC1"/>
    <w:rPr>
      <w:rFonts w:cs="Calibri"/>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a5">
    <w:name w:val="List Paragraph"/>
    <w:basedOn w:val="a"/>
    <w:uiPriority w:val="99"/>
    <w:qFormat/>
    <w:rsid w:val="003C5BC1"/>
    <w:pPr>
      <w:ind w:leftChars="200" w:left="480"/>
    </w:pPr>
  </w:style>
  <w:style w:type="table" w:styleId="-1">
    <w:name w:val="Light Grid Accent 1"/>
    <w:basedOn w:val="a1"/>
    <w:uiPriority w:val="99"/>
    <w:rsid w:val="003C5BC1"/>
    <w:rPr>
      <w:rFonts w:cs="Calibri"/>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pPr>
      <w:rPr>
        <w:rFonts w:ascii="Cambria" w:eastAsia="新細明體" w:hAnsi="Cambria" w:cs="Cambria"/>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Cambria" w:eastAsia="新細明體" w:hAnsi="Cambria" w:cs="Cambria"/>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新細明體" w:hAnsi="Cambria" w:cs="Cambria"/>
        <w:b/>
        <w:bCs/>
      </w:rPr>
    </w:tblStylePr>
    <w:tblStylePr w:type="lastCol">
      <w:rPr>
        <w:rFonts w:ascii="Cambria" w:eastAsia="新細明體" w:hAnsi="Cambria" w:cs="Cambria"/>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3">
    <w:name w:val="Light Grid Accent 3"/>
    <w:basedOn w:val="a1"/>
    <w:uiPriority w:val="99"/>
    <w:rsid w:val="003C5BC1"/>
    <w:rPr>
      <w:rFonts w:cs="Calibri"/>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新細明體"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新細明體"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新細明體" w:hAnsi="Cambria" w:cs="Cambria"/>
        <w:b/>
        <w:bCs/>
      </w:rPr>
    </w:tblStylePr>
    <w:tblStylePr w:type="lastCol">
      <w:rPr>
        <w:rFonts w:ascii="Cambria" w:eastAsia="新細明體"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paragraph" w:styleId="a6">
    <w:name w:val="header"/>
    <w:basedOn w:val="a"/>
    <w:link w:val="a7"/>
    <w:uiPriority w:val="99"/>
    <w:rsid w:val="00762818"/>
    <w:pPr>
      <w:tabs>
        <w:tab w:val="center" w:pos="4153"/>
        <w:tab w:val="right" w:pos="8306"/>
      </w:tabs>
      <w:snapToGrid w:val="0"/>
    </w:pPr>
    <w:rPr>
      <w:sz w:val="20"/>
      <w:szCs w:val="20"/>
    </w:rPr>
  </w:style>
  <w:style w:type="character" w:customStyle="1" w:styleId="a7">
    <w:name w:val="頁首 字元"/>
    <w:basedOn w:val="a0"/>
    <w:link w:val="a6"/>
    <w:uiPriority w:val="99"/>
    <w:rsid w:val="00762818"/>
    <w:rPr>
      <w:sz w:val="20"/>
      <w:szCs w:val="20"/>
    </w:rPr>
  </w:style>
  <w:style w:type="paragraph" w:styleId="a8">
    <w:name w:val="footer"/>
    <w:basedOn w:val="a"/>
    <w:link w:val="a9"/>
    <w:uiPriority w:val="99"/>
    <w:rsid w:val="00762818"/>
    <w:pPr>
      <w:tabs>
        <w:tab w:val="center" w:pos="4153"/>
        <w:tab w:val="right" w:pos="8306"/>
      </w:tabs>
      <w:snapToGrid w:val="0"/>
    </w:pPr>
    <w:rPr>
      <w:sz w:val="20"/>
      <w:szCs w:val="20"/>
    </w:rPr>
  </w:style>
  <w:style w:type="character" w:customStyle="1" w:styleId="a9">
    <w:name w:val="頁尾 字元"/>
    <w:basedOn w:val="a0"/>
    <w:link w:val="a8"/>
    <w:uiPriority w:val="99"/>
    <w:rsid w:val="00762818"/>
    <w:rPr>
      <w:sz w:val="20"/>
      <w:szCs w:val="20"/>
    </w:rPr>
  </w:style>
  <w:style w:type="paragraph" w:styleId="aa">
    <w:name w:val="Balloon Text"/>
    <w:basedOn w:val="a"/>
    <w:link w:val="ab"/>
    <w:uiPriority w:val="99"/>
    <w:semiHidden/>
    <w:rsid w:val="008875AD"/>
    <w:rPr>
      <w:rFonts w:ascii="Cambria" w:hAnsi="Cambria" w:cs="Cambria"/>
      <w:sz w:val="18"/>
      <w:szCs w:val="18"/>
    </w:rPr>
  </w:style>
  <w:style w:type="character" w:customStyle="1" w:styleId="ab">
    <w:name w:val="註解方塊文字 字元"/>
    <w:basedOn w:val="a0"/>
    <w:link w:val="aa"/>
    <w:uiPriority w:val="99"/>
    <w:semiHidden/>
    <w:rsid w:val="008875AD"/>
    <w:rPr>
      <w:rFonts w:ascii="Cambria" w:eastAsia="新細明體" w:hAnsi="Cambria" w:cs="Cambria"/>
      <w:sz w:val="18"/>
      <w:szCs w:val="18"/>
    </w:rPr>
  </w:style>
  <w:style w:type="paragraph" w:customStyle="1" w:styleId="1">
    <w:name w:val="清單段落1"/>
    <w:basedOn w:val="a"/>
    <w:uiPriority w:val="99"/>
    <w:rsid w:val="00525CA4"/>
    <w:pPr>
      <w:ind w:leftChars="200" w:left="480"/>
    </w:pPr>
  </w:style>
  <w:style w:type="character" w:customStyle="1" w:styleId="ac">
    <w:name w:val="字元"/>
    <w:uiPriority w:val="99"/>
    <w:rsid w:val="00525CA4"/>
    <w:rPr>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6C1C"/>
    <w:pPr>
      <w:widowControl w:val="0"/>
    </w:pPr>
    <w:rPr>
      <w:rFonts w:cs="Calibr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rsid w:val="003C5BC1"/>
    <w:rPr>
      <w:rFonts w:cs="Calibri"/>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Light Shading Accent 2"/>
    <w:basedOn w:val="a1"/>
    <w:uiPriority w:val="99"/>
    <w:rsid w:val="003C5BC1"/>
    <w:rPr>
      <w:rFonts w:cs="Calibri"/>
      <w:color w:val="943634"/>
      <w:kern w:val="0"/>
      <w:sz w:val="20"/>
      <w:szCs w:val="20"/>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a4">
    <w:name w:val="Light Shading"/>
    <w:basedOn w:val="a1"/>
    <w:uiPriority w:val="99"/>
    <w:rsid w:val="003C5BC1"/>
    <w:rPr>
      <w:rFonts w:cs="Calibri"/>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a5">
    <w:name w:val="List Paragraph"/>
    <w:basedOn w:val="a"/>
    <w:uiPriority w:val="99"/>
    <w:qFormat/>
    <w:rsid w:val="003C5BC1"/>
    <w:pPr>
      <w:ind w:leftChars="200" w:left="480"/>
    </w:pPr>
  </w:style>
  <w:style w:type="table" w:styleId="-1">
    <w:name w:val="Light Grid Accent 1"/>
    <w:basedOn w:val="a1"/>
    <w:uiPriority w:val="99"/>
    <w:rsid w:val="003C5BC1"/>
    <w:rPr>
      <w:rFonts w:cs="Calibri"/>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pPr>
      <w:rPr>
        <w:rFonts w:ascii="Cambria" w:eastAsia="新細明體" w:hAnsi="Cambria" w:cs="Cambria"/>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Cambria" w:eastAsia="新細明體" w:hAnsi="Cambria" w:cs="Cambria"/>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新細明體" w:hAnsi="Cambria" w:cs="Cambria"/>
        <w:b/>
        <w:bCs/>
      </w:rPr>
    </w:tblStylePr>
    <w:tblStylePr w:type="lastCol">
      <w:rPr>
        <w:rFonts w:ascii="Cambria" w:eastAsia="新細明體" w:hAnsi="Cambria" w:cs="Cambria"/>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3">
    <w:name w:val="Light Grid Accent 3"/>
    <w:basedOn w:val="a1"/>
    <w:uiPriority w:val="99"/>
    <w:rsid w:val="003C5BC1"/>
    <w:rPr>
      <w:rFonts w:cs="Calibri"/>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新細明體"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新細明體"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新細明體" w:hAnsi="Cambria" w:cs="Cambria"/>
        <w:b/>
        <w:bCs/>
      </w:rPr>
    </w:tblStylePr>
    <w:tblStylePr w:type="lastCol">
      <w:rPr>
        <w:rFonts w:ascii="Cambria" w:eastAsia="新細明體"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paragraph" w:styleId="a6">
    <w:name w:val="header"/>
    <w:basedOn w:val="a"/>
    <w:link w:val="a7"/>
    <w:uiPriority w:val="99"/>
    <w:rsid w:val="00762818"/>
    <w:pPr>
      <w:tabs>
        <w:tab w:val="center" w:pos="4153"/>
        <w:tab w:val="right" w:pos="8306"/>
      </w:tabs>
      <w:snapToGrid w:val="0"/>
    </w:pPr>
    <w:rPr>
      <w:sz w:val="20"/>
      <w:szCs w:val="20"/>
    </w:rPr>
  </w:style>
  <w:style w:type="character" w:customStyle="1" w:styleId="a7">
    <w:name w:val="頁首 字元"/>
    <w:basedOn w:val="a0"/>
    <w:link w:val="a6"/>
    <w:uiPriority w:val="99"/>
    <w:rsid w:val="00762818"/>
    <w:rPr>
      <w:sz w:val="20"/>
      <w:szCs w:val="20"/>
    </w:rPr>
  </w:style>
  <w:style w:type="paragraph" w:styleId="a8">
    <w:name w:val="footer"/>
    <w:basedOn w:val="a"/>
    <w:link w:val="a9"/>
    <w:uiPriority w:val="99"/>
    <w:rsid w:val="00762818"/>
    <w:pPr>
      <w:tabs>
        <w:tab w:val="center" w:pos="4153"/>
        <w:tab w:val="right" w:pos="8306"/>
      </w:tabs>
      <w:snapToGrid w:val="0"/>
    </w:pPr>
    <w:rPr>
      <w:sz w:val="20"/>
      <w:szCs w:val="20"/>
    </w:rPr>
  </w:style>
  <w:style w:type="character" w:customStyle="1" w:styleId="a9">
    <w:name w:val="頁尾 字元"/>
    <w:basedOn w:val="a0"/>
    <w:link w:val="a8"/>
    <w:uiPriority w:val="99"/>
    <w:rsid w:val="00762818"/>
    <w:rPr>
      <w:sz w:val="20"/>
      <w:szCs w:val="20"/>
    </w:rPr>
  </w:style>
  <w:style w:type="paragraph" w:styleId="aa">
    <w:name w:val="Balloon Text"/>
    <w:basedOn w:val="a"/>
    <w:link w:val="ab"/>
    <w:uiPriority w:val="99"/>
    <w:semiHidden/>
    <w:rsid w:val="008875AD"/>
    <w:rPr>
      <w:rFonts w:ascii="Cambria" w:hAnsi="Cambria" w:cs="Cambria"/>
      <w:sz w:val="18"/>
      <w:szCs w:val="18"/>
    </w:rPr>
  </w:style>
  <w:style w:type="character" w:customStyle="1" w:styleId="ab">
    <w:name w:val="註解方塊文字 字元"/>
    <w:basedOn w:val="a0"/>
    <w:link w:val="aa"/>
    <w:uiPriority w:val="99"/>
    <w:semiHidden/>
    <w:rsid w:val="008875AD"/>
    <w:rPr>
      <w:rFonts w:ascii="Cambria" w:eastAsia="新細明體" w:hAnsi="Cambria" w:cs="Cambria"/>
      <w:sz w:val="18"/>
      <w:szCs w:val="18"/>
    </w:rPr>
  </w:style>
  <w:style w:type="paragraph" w:customStyle="1" w:styleId="1">
    <w:name w:val="清單段落1"/>
    <w:basedOn w:val="a"/>
    <w:uiPriority w:val="99"/>
    <w:rsid w:val="00525CA4"/>
    <w:pPr>
      <w:ind w:leftChars="200" w:left="480"/>
    </w:pPr>
  </w:style>
  <w:style w:type="character" w:customStyle="1" w:styleId="ac">
    <w:name w:val="字元"/>
    <w:uiPriority w:val="99"/>
    <w:rsid w:val="00525CA4"/>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1751806">
      <w:marLeft w:val="0"/>
      <w:marRight w:val="0"/>
      <w:marTop w:val="0"/>
      <w:marBottom w:val="0"/>
      <w:divBdr>
        <w:top w:val="none" w:sz="0" w:space="0" w:color="auto"/>
        <w:left w:val="none" w:sz="0" w:space="0" w:color="auto"/>
        <w:bottom w:val="none" w:sz="0" w:space="0" w:color="auto"/>
        <w:right w:val="none" w:sz="0" w:space="0" w:color="auto"/>
      </w:divBdr>
      <w:divsChild>
        <w:div w:id="2101751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AA0C6D-20D8-4870-A01B-B8977FBAA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648</Words>
  <Characters>3696</Characters>
  <Application>Microsoft Office Word</Application>
  <DocSecurity>0</DocSecurity>
  <Lines>30</Lines>
  <Paragraphs>8</Paragraphs>
  <ScaleCrop>false</ScaleCrop>
  <Company>csptc</Company>
  <LinksUpToDate>false</LinksUpToDate>
  <CharactersWithSpaces>4336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公務人員一般健康檢查實施要點草案修正意見表</dc:title>
  <dc:subject/>
  <dc:creator>0242</dc:creator>
  <cp:keywords/>
  <dc:description/>
  <cp:lastModifiedBy>0242</cp:lastModifiedBy>
  <cp:revision>3</cp:revision>
  <cp:lastPrinted>2014-10-14T01:04:00Z</cp:lastPrinted>
  <dcterms:created xsi:type="dcterms:W3CDTF">2014-10-27T06:24:00Z</dcterms:created>
  <dcterms:modified xsi:type="dcterms:W3CDTF">2014-10-27T06:27:00Z</dcterms:modified>
</cp:coreProperties>
</file>