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03E3" w:rsidRDefault="00AD5A35" w:rsidP="006B534F">
      <w:pPr>
        <w:pStyle w:val="a8"/>
        <w:spacing w:line="400" w:lineRule="exact"/>
        <w:jc w:val="both"/>
        <w:rPr>
          <w:rFonts w:ascii="標楷體" w:eastAsia="標楷體" w:hAnsi="標楷體"/>
        </w:rPr>
      </w:pPr>
      <w:bookmarkStart w:id="0" w:name="_GoBack"/>
      <w:bookmarkEnd w:id="0"/>
      <w:r>
        <w:rPr>
          <w:rFonts w:ascii="標楷體" w:eastAsia="標楷體" w:hAnsi="標楷體" w:hint="eastAsia"/>
        </w:rPr>
        <w:t>修正</w:t>
      </w:r>
      <w:r w:rsidR="000626AF" w:rsidRPr="000626AF">
        <w:rPr>
          <w:rFonts w:ascii="標楷體" w:eastAsia="標楷體" w:hAnsi="標楷體" w:hint="eastAsia"/>
        </w:rPr>
        <w:t>行政院與所屬中央及地方各機關公務人員休假改進措施</w:t>
      </w:r>
      <w:r w:rsidR="00000D15">
        <w:rPr>
          <w:rFonts w:ascii="標楷體" w:eastAsia="標楷體" w:hAnsi="標楷體" w:hint="eastAsia"/>
        </w:rPr>
        <w:t>第三點、</w:t>
      </w:r>
      <w:r w:rsidR="00901C96">
        <w:rPr>
          <w:rFonts w:ascii="標楷體" w:eastAsia="標楷體" w:hAnsi="標楷體" w:hint="eastAsia"/>
        </w:rPr>
        <w:t>第</w:t>
      </w:r>
      <w:r w:rsidR="006B534F">
        <w:rPr>
          <w:rFonts w:ascii="標楷體" w:eastAsia="標楷體" w:hAnsi="標楷體" w:hint="eastAsia"/>
        </w:rPr>
        <w:t>五</w:t>
      </w:r>
      <w:r w:rsidR="00901C96">
        <w:rPr>
          <w:rFonts w:ascii="標楷體" w:eastAsia="標楷體" w:hAnsi="標楷體" w:hint="eastAsia"/>
        </w:rPr>
        <w:t>點</w:t>
      </w:r>
    </w:p>
    <w:p w:rsidR="00D17835" w:rsidRPr="00462999" w:rsidRDefault="00D17835" w:rsidP="00FE5A3A">
      <w:pPr>
        <w:pStyle w:val="a8"/>
        <w:wordWrap w:val="0"/>
        <w:spacing w:line="400" w:lineRule="exact"/>
        <w:jc w:val="right"/>
        <w:rPr>
          <w:rFonts w:ascii="標楷體" w:eastAsia="標楷體" w:hAnsi="標楷體"/>
          <w:sz w:val="20"/>
        </w:rPr>
      </w:pPr>
      <w:r w:rsidRPr="00462999">
        <w:rPr>
          <w:rFonts w:ascii="標楷體" w:eastAsia="標楷體" w:hAnsi="標楷體" w:hint="eastAsia"/>
          <w:sz w:val="20"/>
        </w:rPr>
        <w:t>行政院10</w:t>
      </w:r>
      <w:r w:rsidR="00C46813">
        <w:rPr>
          <w:rFonts w:ascii="標楷體" w:eastAsia="標楷體" w:hAnsi="標楷體" w:hint="eastAsia"/>
          <w:sz w:val="20"/>
        </w:rPr>
        <w:t>5</w:t>
      </w:r>
      <w:r w:rsidRPr="00462999">
        <w:rPr>
          <w:rFonts w:ascii="標楷體" w:eastAsia="標楷體" w:hAnsi="標楷體" w:hint="eastAsia"/>
          <w:sz w:val="20"/>
        </w:rPr>
        <w:t>年</w:t>
      </w:r>
      <w:r w:rsidR="00C46813">
        <w:rPr>
          <w:rFonts w:ascii="標楷體" w:eastAsia="標楷體" w:hAnsi="標楷體" w:hint="eastAsia"/>
          <w:sz w:val="20"/>
        </w:rPr>
        <w:t>12</w:t>
      </w:r>
      <w:r w:rsidRPr="00462999">
        <w:rPr>
          <w:rFonts w:ascii="標楷體" w:eastAsia="標楷體" w:hAnsi="標楷體" w:hint="eastAsia"/>
          <w:sz w:val="20"/>
        </w:rPr>
        <w:t>月</w:t>
      </w:r>
      <w:r w:rsidR="00C46813">
        <w:rPr>
          <w:rFonts w:ascii="標楷體" w:eastAsia="標楷體" w:hAnsi="標楷體" w:hint="eastAsia"/>
          <w:sz w:val="20"/>
        </w:rPr>
        <w:t>29</w:t>
      </w:r>
      <w:r w:rsidR="00172C6A" w:rsidRPr="00462999">
        <w:rPr>
          <w:rFonts w:ascii="標楷體" w:eastAsia="標楷體" w:hAnsi="標楷體" w:hint="eastAsia"/>
          <w:sz w:val="20"/>
        </w:rPr>
        <w:t>日</w:t>
      </w:r>
      <w:r w:rsidR="00C46813" w:rsidRPr="00C46813">
        <w:rPr>
          <w:rFonts w:ascii="標楷體" w:eastAsia="標楷體" w:hAnsi="標楷體" w:hint="eastAsia"/>
          <w:sz w:val="20"/>
        </w:rPr>
        <w:t>院授人培字第1050063738號</w:t>
      </w:r>
      <w:r w:rsidRPr="00462999">
        <w:rPr>
          <w:rFonts w:ascii="標楷體" w:eastAsia="標楷體" w:hAnsi="標楷體" w:hint="eastAsia"/>
          <w:sz w:val="20"/>
        </w:rPr>
        <w:t>函修正</w:t>
      </w:r>
    </w:p>
    <w:p w:rsidR="00586385" w:rsidRDefault="00586385" w:rsidP="00586385">
      <w:pPr>
        <w:snapToGrid w:val="0"/>
        <w:spacing w:line="460" w:lineRule="exact"/>
        <w:ind w:left="560" w:hangingChars="200" w:hanging="560"/>
        <w:rPr>
          <w:rFonts w:ascii="標楷體" w:eastAsia="標楷體" w:hAnsi="標楷體" w:cs="新細明體"/>
          <w:kern w:val="0"/>
          <w:sz w:val="28"/>
          <w:szCs w:val="28"/>
        </w:rPr>
      </w:pPr>
      <w:r w:rsidRPr="00586385">
        <w:rPr>
          <w:rFonts w:ascii="標楷體" w:eastAsia="標楷體" w:hAnsi="標楷體" w:cs="新細明體" w:hint="eastAsia"/>
          <w:kern w:val="0"/>
          <w:sz w:val="28"/>
          <w:szCs w:val="28"/>
        </w:rPr>
        <w:t>三、</w:t>
      </w:r>
      <w:r w:rsidR="00291016" w:rsidRPr="00291016">
        <w:rPr>
          <w:rFonts w:ascii="標楷體" w:eastAsia="標楷體" w:hAnsi="標楷體" w:cs="新細明體" w:hint="eastAsia"/>
          <w:kern w:val="0"/>
          <w:sz w:val="28"/>
          <w:szCs w:val="28"/>
        </w:rPr>
        <w:t>各機關如有確因特殊情形未能照改進措施實施者，應列舉具體事由並擬訂可行措施報請主管機關核定後實施；其非屬個案性質者，並由主管機關報請行政院備查。</w:t>
      </w:r>
    </w:p>
    <w:p w:rsidR="00337B21" w:rsidRDefault="0024638C" w:rsidP="00291016">
      <w:pPr>
        <w:snapToGrid w:val="0"/>
        <w:spacing w:line="460" w:lineRule="exact"/>
        <w:ind w:leftChars="200" w:left="480"/>
        <w:rPr>
          <w:rFonts w:ascii="標楷體" w:eastAsia="標楷體" w:hAnsi="標楷體" w:cs="新細明體"/>
          <w:kern w:val="0"/>
          <w:sz w:val="28"/>
          <w:szCs w:val="28"/>
        </w:rPr>
      </w:pPr>
      <w:r>
        <w:rPr>
          <w:rFonts w:ascii="標楷體" w:eastAsia="標楷體" w:hAnsi="標楷體" w:cs="新細明體" w:hint="eastAsia"/>
          <w:kern w:val="0"/>
          <w:sz w:val="28"/>
          <w:szCs w:val="28"/>
        </w:rPr>
        <w:t xml:space="preserve">    </w:t>
      </w:r>
      <w:r w:rsidR="00291016" w:rsidRPr="00291016">
        <w:rPr>
          <w:rFonts w:ascii="標楷體" w:eastAsia="標楷體" w:hAnsi="標楷體" w:cs="新細明體" w:hint="eastAsia"/>
          <w:kern w:val="0"/>
          <w:sz w:val="28"/>
          <w:szCs w:val="28"/>
        </w:rPr>
        <w:t>前項所稱主管機關，指各部、會、行、總處、署、院、及省、直轄市、縣（市）政府。</w:t>
      </w:r>
    </w:p>
    <w:p w:rsidR="00586385" w:rsidRPr="00586385" w:rsidRDefault="00586385" w:rsidP="00586385">
      <w:pPr>
        <w:snapToGrid w:val="0"/>
        <w:spacing w:line="460" w:lineRule="exact"/>
        <w:ind w:left="560" w:hangingChars="200" w:hanging="560"/>
        <w:rPr>
          <w:rFonts w:ascii="標楷體" w:eastAsia="標楷體" w:hAnsi="標楷體" w:cs="新細明體"/>
          <w:kern w:val="0"/>
          <w:sz w:val="28"/>
          <w:szCs w:val="28"/>
        </w:rPr>
      </w:pPr>
      <w:r w:rsidRPr="00586385">
        <w:rPr>
          <w:rFonts w:ascii="標楷體" w:eastAsia="標楷體" w:hAnsi="標楷體" w:cs="新細明體" w:hint="eastAsia"/>
          <w:kern w:val="0"/>
          <w:sz w:val="28"/>
          <w:szCs w:val="28"/>
        </w:rPr>
        <w:t>五、</w:t>
      </w:r>
      <w:r w:rsidR="00150967" w:rsidRPr="00150967">
        <w:rPr>
          <w:rFonts w:ascii="標楷體" w:eastAsia="標楷體" w:hAnsi="標楷體" w:cs="新細明體" w:hint="eastAsia"/>
          <w:kern w:val="0"/>
          <w:sz w:val="28"/>
          <w:szCs w:val="28"/>
        </w:rPr>
        <w:t>為鼓勵公務人員利用休假從事正當休閒旅遊及藝文活動，振興觀光旅遊產業，各機關對於所屬公務人員請國內休假者，應按下列方式核發休假補助費；所需費用，於各機關預算之人事費等相關經費項下勻支</w:t>
      </w:r>
      <w:r w:rsidR="00150967">
        <w:rPr>
          <w:rFonts w:ascii="標楷體" w:eastAsia="標楷體" w:hAnsi="標楷體" w:cs="新細明體" w:hint="eastAsia"/>
          <w:kern w:val="0"/>
          <w:sz w:val="28"/>
          <w:szCs w:val="28"/>
        </w:rPr>
        <w:t>：</w:t>
      </w:r>
    </w:p>
    <w:p w:rsidR="00586385" w:rsidRPr="00586385" w:rsidRDefault="00586385" w:rsidP="00586385">
      <w:pPr>
        <w:numPr>
          <w:ilvl w:val="0"/>
          <w:numId w:val="2"/>
        </w:numPr>
        <w:snapToGrid w:val="0"/>
        <w:spacing w:line="460" w:lineRule="exact"/>
        <w:rPr>
          <w:rFonts w:ascii="標楷體" w:eastAsia="標楷體" w:hAnsi="標楷體" w:cs="新細明體"/>
          <w:kern w:val="0"/>
          <w:sz w:val="28"/>
          <w:szCs w:val="28"/>
        </w:rPr>
      </w:pPr>
      <w:r w:rsidRPr="00586385">
        <w:rPr>
          <w:rFonts w:ascii="標楷體" w:eastAsia="標楷體" w:hAnsi="標楷體" w:cs="新細明體" w:hint="eastAsia"/>
          <w:kern w:val="0"/>
          <w:sz w:val="28"/>
          <w:szCs w:val="28"/>
        </w:rPr>
        <w:t>應休畢日數（十四日以內）之休假部分：</w:t>
      </w:r>
    </w:p>
    <w:p w:rsidR="00586385" w:rsidRPr="00586385" w:rsidRDefault="00586385" w:rsidP="00586385">
      <w:pPr>
        <w:numPr>
          <w:ilvl w:val="1"/>
          <w:numId w:val="2"/>
        </w:numPr>
        <w:snapToGrid w:val="0"/>
        <w:spacing w:line="460" w:lineRule="exact"/>
        <w:rPr>
          <w:rFonts w:ascii="標楷體" w:eastAsia="標楷體" w:hAnsi="標楷體" w:cs="新細明體"/>
          <w:kern w:val="0"/>
          <w:sz w:val="28"/>
          <w:szCs w:val="28"/>
        </w:rPr>
      </w:pPr>
      <w:r w:rsidRPr="00586385">
        <w:rPr>
          <w:rFonts w:ascii="標楷體" w:eastAsia="標楷體" w:hAnsi="標楷體" w:cs="新細明體" w:hint="eastAsia"/>
          <w:kern w:val="0"/>
          <w:sz w:val="28"/>
          <w:szCs w:val="28"/>
        </w:rPr>
        <w:t>公務人員每人全年合計補助總額最高以新臺幣一萬六千元為限。但未具休假十四日資格者，其全年最高補助總額按所具休假日數，以每日新臺幣一千一百四十三元計算。</w:t>
      </w:r>
    </w:p>
    <w:p w:rsidR="00586385" w:rsidRPr="00586385" w:rsidRDefault="00586385" w:rsidP="00586385">
      <w:pPr>
        <w:numPr>
          <w:ilvl w:val="1"/>
          <w:numId w:val="2"/>
        </w:numPr>
        <w:snapToGrid w:val="0"/>
        <w:spacing w:line="460" w:lineRule="exact"/>
        <w:rPr>
          <w:rFonts w:ascii="標楷體" w:eastAsia="標楷體" w:hAnsi="標楷體" w:cs="新細明體"/>
          <w:kern w:val="0"/>
          <w:sz w:val="28"/>
          <w:szCs w:val="28"/>
        </w:rPr>
      </w:pPr>
      <w:r w:rsidRPr="00586385">
        <w:rPr>
          <w:rFonts w:ascii="標楷體" w:eastAsia="標楷體" w:hAnsi="標楷體" w:cs="新細明體" w:hint="eastAsia"/>
          <w:kern w:val="0"/>
          <w:sz w:val="28"/>
          <w:szCs w:val="28"/>
        </w:rPr>
        <w:t>前目補助總額分為自行運用額度及</w:t>
      </w:r>
      <w:r w:rsidR="0046289A">
        <w:rPr>
          <w:rFonts w:ascii="標楷體" w:eastAsia="標楷體" w:hAnsi="標楷體" w:cs="新細明體" w:hint="eastAsia"/>
          <w:kern w:val="0"/>
          <w:sz w:val="28"/>
          <w:szCs w:val="28"/>
        </w:rPr>
        <w:t>觀光旅遊</w:t>
      </w:r>
      <w:r w:rsidRPr="00586385">
        <w:rPr>
          <w:rFonts w:ascii="標楷體" w:eastAsia="標楷體" w:hAnsi="標楷體" w:cs="新細明體" w:hint="eastAsia"/>
          <w:kern w:val="0"/>
          <w:sz w:val="28"/>
          <w:szCs w:val="28"/>
        </w:rPr>
        <w:t>額度，其補助方式如下：</w:t>
      </w:r>
    </w:p>
    <w:p w:rsidR="00586385" w:rsidRPr="00586385" w:rsidRDefault="00586385" w:rsidP="00586385">
      <w:pPr>
        <w:pStyle w:val="ab"/>
        <w:snapToGrid w:val="0"/>
        <w:spacing w:line="460" w:lineRule="exact"/>
        <w:ind w:leftChars="300" w:left="1140" w:hangingChars="150" w:hanging="420"/>
        <w:rPr>
          <w:rFonts w:ascii="標楷體" w:eastAsia="標楷體" w:hAnsi="標楷體" w:cs="新細明體"/>
          <w:kern w:val="0"/>
          <w:sz w:val="28"/>
          <w:szCs w:val="28"/>
        </w:rPr>
      </w:pPr>
      <w:r>
        <w:rPr>
          <w:rFonts w:ascii="標楷體" w:eastAsia="標楷體" w:hAnsi="標楷體" w:cs="新細明體" w:hint="eastAsia"/>
          <w:kern w:val="0"/>
          <w:sz w:val="28"/>
          <w:szCs w:val="28"/>
        </w:rPr>
        <w:t>(1)</w:t>
      </w:r>
      <w:r w:rsidRPr="00586385">
        <w:rPr>
          <w:rFonts w:ascii="標楷體" w:eastAsia="標楷體" w:hAnsi="標楷體" w:cs="新細明體" w:hint="eastAsia"/>
          <w:kern w:val="0"/>
          <w:sz w:val="28"/>
          <w:szCs w:val="28"/>
        </w:rPr>
        <w:t>自行運用額度：公務人員應於休假期間，持國民旅遊卡至交通部觀光局（以下簡稱觀光局）審核通過之各行業別國民旅遊卡特約商店（業別及細項分類如附表）刷卡消費，始得按刷卡消費金額予以核實補助。</w:t>
      </w:r>
    </w:p>
    <w:p w:rsidR="00586385" w:rsidRPr="00586385" w:rsidRDefault="00586385" w:rsidP="00586385">
      <w:pPr>
        <w:pStyle w:val="ab"/>
        <w:snapToGrid w:val="0"/>
        <w:spacing w:line="460" w:lineRule="exact"/>
        <w:ind w:leftChars="300" w:left="1140" w:hangingChars="150" w:hanging="420"/>
        <w:rPr>
          <w:rFonts w:ascii="標楷體" w:eastAsia="標楷體" w:hAnsi="標楷體" w:cs="新細明體"/>
          <w:kern w:val="0"/>
          <w:sz w:val="28"/>
          <w:szCs w:val="28"/>
        </w:rPr>
      </w:pPr>
      <w:r>
        <w:rPr>
          <w:rFonts w:ascii="標楷體" w:eastAsia="標楷體" w:hAnsi="標楷體" w:cs="新細明體" w:hint="eastAsia"/>
          <w:kern w:val="0"/>
          <w:sz w:val="28"/>
          <w:szCs w:val="28"/>
        </w:rPr>
        <w:t>(2)</w:t>
      </w:r>
      <w:r w:rsidR="0046289A">
        <w:rPr>
          <w:rFonts w:ascii="標楷體" w:eastAsia="標楷體" w:hAnsi="標楷體" w:cs="新細明體" w:hint="eastAsia"/>
          <w:kern w:val="0"/>
          <w:sz w:val="28"/>
          <w:szCs w:val="28"/>
        </w:rPr>
        <w:t>觀光旅遊</w:t>
      </w:r>
      <w:r w:rsidRPr="00586385">
        <w:rPr>
          <w:rFonts w:ascii="標楷體" w:eastAsia="標楷體" w:hAnsi="標楷體" w:cs="新細明體" w:hint="eastAsia"/>
          <w:kern w:val="0"/>
          <w:sz w:val="28"/>
          <w:szCs w:val="28"/>
        </w:rPr>
        <w:t>額度：公務人員應於休假期間，持國民旅遊卡至觀光局審核通過之旅行業國民旅遊卡特約商店刷卡消費</w:t>
      </w:r>
      <w:r w:rsidR="0046289A">
        <w:rPr>
          <w:rFonts w:ascii="標楷體" w:eastAsia="標楷體" w:hAnsi="標楷體" w:cs="新細明體" w:hint="eastAsia"/>
          <w:kern w:val="0"/>
          <w:sz w:val="28"/>
          <w:szCs w:val="28"/>
        </w:rPr>
        <w:t>觀光旅遊</w:t>
      </w:r>
      <w:r w:rsidRPr="00586385">
        <w:rPr>
          <w:rFonts w:ascii="標楷體" w:eastAsia="標楷體" w:hAnsi="標楷體" w:cs="新細明體" w:hint="eastAsia"/>
          <w:kern w:val="0"/>
          <w:sz w:val="28"/>
          <w:szCs w:val="28"/>
        </w:rPr>
        <w:t>商品，始得按刷卡消費金額予以核實補助。</w:t>
      </w:r>
    </w:p>
    <w:p w:rsidR="00586385" w:rsidRPr="00586385" w:rsidRDefault="00586385" w:rsidP="00586385">
      <w:pPr>
        <w:numPr>
          <w:ilvl w:val="1"/>
          <w:numId w:val="2"/>
        </w:numPr>
        <w:snapToGrid w:val="0"/>
        <w:spacing w:line="460" w:lineRule="exact"/>
        <w:rPr>
          <w:rFonts w:ascii="標楷體" w:eastAsia="標楷體" w:hAnsi="標楷體" w:cs="新細明體"/>
          <w:kern w:val="0"/>
          <w:sz w:val="28"/>
          <w:szCs w:val="28"/>
        </w:rPr>
      </w:pPr>
      <w:r w:rsidRPr="00586385">
        <w:rPr>
          <w:rFonts w:ascii="標楷體" w:eastAsia="標楷體" w:hAnsi="標楷體" w:cs="新細明體" w:hint="eastAsia"/>
          <w:kern w:val="0"/>
          <w:sz w:val="28"/>
          <w:szCs w:val="28"/>
        </w:rPr>
        <w:t>公務人員當年所具休假資格在七日以下者，其補助總額均屬自行運用額度。</w:t>
      </w:r>
    </w:p>
    <w:p w:rsidR="00586385" w:rsidRPr="00586385" w:rsidRDefault="005E3B40" w:rsidP="005E3B40">
      <w:pPr>
        <w:numPr>
          <w:ilvl w:val="1"/>
          <w:numId w:val="2"/>
        </w:numPr>
        <w:snapToGrid w:val="0"/>
        <w:spacing w:line="460" w:lineRule="exact"/>
        <w:rPr>
          <w:rFonts w:ascii="標楷體" w:eastAsia="標楷體" w:hAnsi="標楷體" w:cs="新細明體"/>
          <w:kern w:val="0"/>
          <w:sz w:val="28"/>
          <w:szCs w:val="28"/>
        </w:rPr>
      </w:pPr>
      <w:r w:rsidRPr="005E3B40">
        <w:rPr>
          <w:rFonts w:ascii="標楷體" w:eastAsia="標楷體" w:hAnsi="標楷體" w:cs="新細明體" w:hint="eastAsia"/>
          <w:kern w:val="0"/>
          <w:sz w:val="28"/>
          <w:szCs w:val="28"/>
        </w:rPr>
        <w:t>公務人員當年所具休假資格逾七日者，補助總額中新臺幣八千元之額度屬</w:t>
      </w:r>
      <w:r w:rsidR="0046289A">
        <w:rPr>
          <w:rFonts w:ascii="標楷體" w:eastAsia="標楷體" w:hAnsi="標楷體" w:cs="新細明體" w:hint="eastAsia"/>
          <w:kern w:val="0"/>
          <w:sz w:val="28"/>
          <w:szCs w:val="28"/>
        </w:rPr>
        <w:t>觀光旅遊</w:t>
      </w:r>
      <w:r w:rsidRPr="005E3B40">
        <w:rPr>
          <w:rFonts w:ascii="標楷體" w:eastAsia="標楷體" w:hAnsi="標楷體" w:cs="新細明體" w:hint="eastAsia"/>
          <w:kern w:val="0"/>
          <w:sz w:val="28"/>
          <w:szCs w:val="28"/>
        </w:rPr>
        <w:t>額度；</w:t>
      </w:r>
      <w:r w:rsidR="0046289A">
        <w:rPr>
          <w:rFonts w:ascii="標楷體" w:eastAsia="標楷體" w:hAnsi="標楷體" w:cs="新細明體" w:hint="eastAsia"/>
          <w:kern w:val="0"/>
          <w:sz w:val="28"/>
          <w:szCs w:val="28"/>
        </w:rPr>
        <w:t>觀光旅遊</w:t>
      </w:r>
      <w:r w:rsidRPr="005E3B40">
        <w:rPr>
          <w:rFonts w:ascii="標楷體" w:eastAsia="標楷體" w:hAnsi="標楷體" w:cs="新細明體" w:hint="eastAsia"/>
          <w:kern w:val="0"/>
          <w:sz w:val="28"/>
          <w:szCs w:val="28"/>
        </w:rPr>
        <w:t>額度以外之補助額度屬自行運用額度。</w:t>
      </w:r>
    </w:p>
    <w:p w:rsidR="00586385" w:rsidRPr="00586385" w:rsidRDefault="005E3B40" w:rsidP="005E3B40">
      <w:pPr>
        <w:numPr>
          <w:ilvl w:val="1"/>
          <w:numId w:val="2"/>
        </w:numPr>
        <w:snapToGrid w:val="0"/>
        <w:spacing w:line="460" w:lineRule="exact"/>
        <w:rPr>
          <w:rFonts w:ascii="標楷體" w:eastAsia="標楷體" w:hAnsi="標楷體" w:cs="新細明體"/>
          <w:kern w:val="0"/>
          <w:sz w:val="28"/>
          <w:szCs w:val="28"/>
        </w:rPr>
      </w:pPr>
      <w:r w:rsidRPr="005E3B40">
        <w:rPr>
          <w:rFonts w:ascii="標楷體" w:eastAsia="標楷體" w:hAnsi="標楷體" w:cs="新細明體" w:hint="eastAsia"/>
          <w:kern w:val="0"/>
          <w:sz w:val="28"/>
          <w:szCs w:val="28"/>
        </w:rPr>
        <w:lastRenderedPageBreak/>
        <w:t>公務人員因身心障礙、懷孕或重大傷病，於當年確實無法參加</w:t>
      </w:r>
      <w:r w:rsidR="0046289A">
        <w:rPr>
          <w:rFonts w:ascii="標楷體" w:eastAsia="標楷體" w:hAnsi="標楷體" w:cs="新細明體" w:hint="eastAsia"/>
          <w:kern w:val="0"/>
          <w:sz w:val="28"/>
          <w:szCs w:val="28"/>
        </w:rPr>
        <w:t>觀光旅遊</w:t>
      </w:r>
      <w:r w:rsidRPr="005E3B40">
        <w:rPr>
          <w:rFonts w:ascii="標楷體" w:eastAsia="標楷體" w:hAnsi="標楷體" w:cs="新細明體" w:hint="eastAsia"/>
          <w:kern w:val="0"/>
          <w:sz w:val="28"/>
          <w:szCs w:val="28"/>
        </w:rPr>
        <w:t>，經服務機關認定者，當年補助總額均屬自行運用額度。</w:t>
      </w:r>
    </w:p>
    <w:p w:rsidR="00586385" w:rsidRPr="00586385" w:rsidRDefault="00586385" w:rsidP="00586385">
      <w:pPr>
        <w:numPr>
          <w:ilvl w:val="1"/>
          <w:numId w:val="2"/>
        </w:numPr>
        <w:snapToGrid w:val="0"/>
        <w:spacing w:line="460" w:lineRule="exact"/>
        <w:rPr>
          <w:rFonts w:ascii="標楷體" w:eastAsia="標楷體" w:hAnsi="標楷體" w:cs="新細明體"/>
          <w:kern w:val="0"/>
          <w:sz w:val="28"/>
          <w:szCs w:val="28"/>
        </w:rPr>
      </w:pPr>
      <w:r w:rsidRPr="00586385">
        <w:rPr>
          <w:rFonts w:ascii="標楷體" w:eastAsia="標楷體" w:hAnsi="標楷體" w:cs="新細明體" w:hint="eastAsia"/>
          <w:kern w:val="0"/>
          <w:sz w:val="28"/>
          <w:szCs w:val="28"/>
        </w:rPr>
        <w:t>休假期間及其相連假日之連續期間，於旅行業、旅宿業、觀光遊樂業刷卡消費者，其與該休假期間相連之假日於各國民旅遊卡特約商店刷卡之消費，得核實併入自行運用額度之補助範圍。</w:t>
      </w:r>
    </w:p>
    <w:p w:rsidR="00586385" w:rsidRPr="00586385" w:rsidRDefault="00586385" w:rsidP="00586385">
      <w:pPr>
        <w:numPr>
          <w:ilvl w:val="1"/>
          <w:numId w:val="2"/>
        </w:numPr>
        <w:snapToGrid w:val="0"/>
        <w:spacing w:line="460" w:lineRule="exact"/>
        <w:rPr>
          <w:rFonts w:ascii="標楷體" w:eastAsia="標楷體" w:hAnsi="標楷體" w:cs="新細明體"/>
          <w:kern w:val="0"/>
          <w:sz w:val="28"/>
          <w:szCs w:val="28"/>
        </w:rPr>
      </w:pPr>
      <w:r w:rsidRPr="00586385">
        <w:rPr>
          <w:rFonts w:ascii="標楷體" w:eastAsia="標楷體" w:hAnsi="標楷體" w:cs="新細明體" w:hint="eastAsia"/>
          <w:kern w:val="0"/>
          <w:sz w:val="28"/>
          <w:szCs w:val="28"/>
        </w:rPr>
        <w:t>符合第二目請領休假補助者，其休假期間前後一日於國民旅遊卡特約商店刷卡消費之交通費用，得核實併入自行運用額度之補助範圍。</w:t>
      </w:r>
    </w:p>
    <w:p w:rsidR="00B44BE8" w:rsidRPr="00172C6A" w:rsidRDefault="00586385" w:rsidP="00586385">
      <w:pPr>
        <w:numPr>
          <w:ilvl w:val="0"/>
          <w:numId w:val="2"/>
        </w:numPr>
        <w:snapToGrid w:val="0"/>
        <w:spacing w:line="460" w:lineRule="exact"/>
        <w:rPr>
          <w:rFonts w:ascii="標楷體" w:eastAsia="標楷體" w:hAnsi="標楷體" w:cs="新細明體"/>
          <w:kern w:val="0"/>
          <w:sz w:val="28"/>
          <w:szCs w:val="28"/>
        </w:rPr>
      </w:pPr>
      <w:r w:rsidRPr="00586385">
        <w:rPr>
          <w:rFonts w:ascii="標楷體" w:eastAsia="標楷體" w:hAnsi="標楷體" w:cs="新細明體" w:hint="eastAsia"/>
          <w:kern w:val="0"/>
          <w:sz w:val="28"/>
          <w:szCs w:val="28"/>
        </w:rPr>
        <w:t>應休畢日數以外之休假部分：按日支給休假補助費新臺幣六百元；未達一日者，按日折半支給，於年終一併結算。</w:t>
      </w:r>
    </w:p>
    <w:p w:rsidR="00B44BE8" w:rsidRPr="006B534F" w:rsidRDefault="00B44BE8" w:rsidP="00B44BE8">
      <w:pPr>
        <w:ind w:left="851"/>
        <w:rPr>
          <w:rFonts w:ascii="標楷體" w:eastAsia="標楷體" w:hAnsi="標楷體" w:cs="新細明體"/>
          <w:kern w:val="0"/>
        </w:rPr>
      </w:pPr>
    </w:p>
    <w:p w:rsidR="00C6605F" w:rsidRPr="000626AF" w:rsidRDefault="00901C96" w:rsidP="00771F33">
      <w:pPr>
        <w:rPr>
          <w:rFonts w:ascii="標楷體" w:eastAsia="標楷體" w:hAnsi="標楷體" w:cs="新細明體"/>
          <w:kern w:val="0"/>
        </w:rPr>
      </w:pPr>
      <w:r>
        <w:rPr>
          <w:rFonts w:ascii="標楷體" w:eastAsia="標楷體" w:hAnsi="標楷體" w:cs="新細明體"/>
          <w:kern w:val="0"/>
        </w:rPr>
        <w:br w:type="page"/>
      </w:r>
      <w:r w:rsidR="00C6605F" w:rsidRPr="000626AF">
        <w:rPr>
          <w:rFonts w:ascii="標楷體" w:eastAsia="標楷體" w:hAnsi="標楷體" w:cs="新細明體" w:hint="eastAsia"/>
          <w:kern w:val="0"/>
        </w:rPr>
        <w:lastRenderedPageBreak/>
        <w:t>附表：國民旅遊卡特約商店業別及細項分類表</w:t>
      </w:r>
    </w:p>
    <w:tbl>
      <w:tblPr>
        <w:tblW w:w="9064" w:type="dxa"/>
        <w:jc w:val="center"/>
        <w:tblCellMar>
          <w:left w:w="0" w:type="dxa"/>
          <w:right w:w="0" w:type="dxa"/>
        </w:tblCellMar>
        <w:tblLook w:val="0000" w:firstRow="0" w:lastRow="0" w:firstColumn="0" w:lastColumn="0" w:noHBand="0" w:noVBand="0"/>
      </w:tblPr>
      <w:tblGrid>
        <w:gridCol w:w="582"/>
        <w:gridCol w:w="2475"/>
        <w:gridCol w:w="6007"/>
      </w:tblGrid>
      <w:tr w:rsidR="00C6605F" w:rsidRPr="000626AF" w:rsidTr="005274C9">
        <w:trPr>
          <w:jc w:val="center"/>
        </w:trPr>
        <w:tc>
          <w:tcPr>
            <w:tcW w:w="3057" w:type="dxa"/>
            <w:gridSpan w:val="2"/>
            <w:tcBorders>
              <w:top w:val="single" w:sz="12" w:space="0" w:color="auto"/>
              <w:left w:val="single" w:sz="12" w:space="0" w:color="auto"/>
              <w:bottom w:val="single" w:sz="8" w:space="0" w:color="auto"/>
              <w:right w:val="single" w:sz="8" w:space="0" w:color="auto"/>
            </w:tcBorders>
            <w:tcMar>
              <w:top w:w="57" w:type="dxa"/>
              <w:left w:w="108" w:type="dxa"/>
              <w:bottom w:w="57" w:type="dxa"/>
              <w:right w:w="108" w:type="dxa"/>
            </w:tcMar>
            <w:vAlign w:val="center"/>
          </w:tcPr>
          <w:p w:rsidR="00C6605F" w:rsidRPr="000626AF" w:rsidRDefault="00C6605F" w:rsidP="00193F99">
            <w:pPr>
              <w:widowControl/>
              <w:spacing w:before="100" w:beforeAutospacing="1" w:after="100" w:afterAutospacing="1" w:line="300" w:lineRule="atLeast"/>
              <w:jc w:val="center"/>
              <w:rPr>
                <w:rFonts w:ascii="新細明體" w:hAnsi="新細明體" w:cs="新細明體"/>
                <w:kern w:val="0"/>
              </w:rPr>
            </w:pPr>
            <w:r w:rsidRPr="000626AF">
              <w:rPr>
                <w:rFonts w:ascii="標楷體" w:eastAsia="標楷體" w:hAnsi="標楷體" w:cs="新細明體" w:hint="eastAsia"/>
                <w:kern w:val="0"/>
              </w:rPr>
              <w:t>業  別</w:t>
            </w:r>
          </w:p>
        </w:tc>
        <w:tc>
          <w:tcPr>
            <w:tcW w:w="6007" w:type="dxa"/>
            <w:tcBorders>
              <w:top w:val="single" w:sz="12" w:space="0" w:color="auto"/>
              <w:left w:val="nil"/>
              <w:bottom w:val="single" w:sz="8" w:space="0" w:color="auto"/>
              <w:right w:val="single" w:sz="12" w:space="0" w:color="auto"/>
            </w:tcBorders>
            <w:tcMar>
              <w:top w:w="57" w:type="dxa"/>
              <w:left w:w="108" w:type="dxa"/>
              <w:bottom w:w="57" w:type="dxa"/>
              <w:right w:w="108" w:type="dxa"/>
            </w:tcMar>
            <w:vAlign w:val="center"/>
          </w:tcPr>
          <w:p w:rsidR="00C6605F" w:rsidRPr="000626AF" w:rsidRDefault="00C6605F" w:rsidP="00193F99">
            <w:pPr>
              <w:widowControl/>
              <w:spacing w:before="100" w:beforeAutospacing="1" w:after="100" w:afterAutospacing="1" w:line="300" w:lineRule="atLeast"/>
              <w:jc w:val="center"/>
              <w:rPr>
                <w:rFonts w:ascii="新細明體" w:hAnsi="新細明體" w:cs="新細明體"/>
                <w:kern w:val="0"/>
              </w:rPr>
            </w:pPr>
            <w:r w:rsidRPr="000626AF">
              <w:rPr>
                <w:rFonts w:ascii="標楷體" w:eastAsia="標楷體" w:hAnsi="標楷體" w:cs="新細明體" w:hint="eastAsia"/>
                <w:kern w:val="0"/>
              </w:rPr>
              <w:t>細項分類</w:t>
            </w:r>
          </w:p>
        </w:tc>
      </w:tr>
      <w:tr w:rsidR="005274C9" w:rsidRPr="000626AF" w:rsidTr="005274C9">
        <w:trPr>
          <w:cantSplit/>
          <w:jc w:val="center"/>
        </w:trPr>
        <w:tc>
          <w:tcPr>
            <w:tcW w:w="582" w:type="dxa"/>
            <w:vMerge w:val="restart"/>
            <w:tcBorders>
              <w:top w:val="nil"/>
              <w:left w:val="single" w:sz="12" w:space="0" w:color="auto"/>
              <w:bottom w:val="single" w:sz="8" w:space="0" w:color="auto"/>
              <w:right w:val="single" w:sz="8" w:space="0" w:color="auto"/>
            </w:tcBorders>
            <w:tcMar>
              <w:top w:w="57" w:type="dxa"/>
              <w:left w:w="108" w:type="dxa"/>
              <w:bottom w:w="57" w:type="dxa"/>
              <w:right w:w="108" w:type="dxa"/>
            </w:tcMar>
            <w:textDirection w:val="tbRlV"/>
            <w:vAlign w:val="center"/>
          </w:tcPr>
          <w:p w:rsidR="005274C9" w:rsidRPr="000626AF" w:rsidRDefault="005274C9" w:rsidP="00193F99">
            <w:pPr>
              <w:widowControl/>
              <w:spacing w:line="300" w:lineRule="atLeast"/>
              <w:ind w:left="113" w:right="113"/>
              <w:rPr>
                <w:rFonts w:ascii="新細明體" w:hAnsi="新細明體" w:cs="新細明體"/>
                <w:kern w:val="0"/>
              </w:rPr>
            </w:pPr>
            <w:r w:rsidRPr="000626AF">
              <w:rPr>
                <w:rFonts w:ascii="標楷體" w:eastAsia="標楷體" w:hAnsi="標楷體" w:cs="新細明體" w:hint="eastAsia"/>
                <w:kern w:val="0"/>
              </w:rPr>
              <w:t>觀光休閒及藝文業別</w:t>
            </w:r>
          </w:p>
        </w:tc>
        <w:tc>
          <w:tcPr>
            <w:tcW w:w="2475" w:type="dxa"/>
            <w:tcBorders>
              <w:top w:val="nil"/>
              <w:left w:val="nil"/>
              <w:bottom w:val="single" w:sz="8" w:space="0" w:color="auto"/>
              <w:right w:val="single" w:sz="8" w:space="0" w:color="auto"/>
            </w:tcBorders>
            <w:tcMar>
              <w:top w:w="57" w:type="dxa"/>
              <w:left w:w="108" w:type="dxa"/>
              <w:bottom w:w="57" w:type="dxa"/>
              <w:right w:w="108" w:type="dxa"/>
            </w:tcMar>
          </w:tcPr>
          <w:p w:rsidR="005274C9" w:rsidRPr="000626AF" w:rsidRDefault="005274C9" w:rsidP="00617A13">
            <w:pPr>
              <w:widowControl/>
              <w:spacing w:before="100" w:beforeAutospacing="1" w:after="100" w:afterAutospacing="1" w:line="300" w:lineRule="atLeast"/>
              <w:jc w:val="both"/>
              <w:rPr>
                <w:rFonts w:ascii="新細明體" w:hAnsi="新細明體" w:cs="新細明體"/>
                <w:kern w:val="0"/>
              </w:rPr>
            </w:pPr>
            <w:r w:rsidRPr="000626AF">
              <w:rPr>
                <w:rFonts w:ascii="標楷體" w:eastAsia="標楷體" w:hAnsi="標楷體" w:cs="新細明體" w:hint="eastAsia"/>
                <w:kern w:val="0"/>
              </w:rPr>
              <w:t>旅行業</w:t>
            </w:r>
          </w:p>
        </w:tc>
        <w:tc>
          <w:tcPr>
            <w:tcW w:w="6007" w:type="dxa"/>
            <w:tcBorders>
              <w:top w:val="nil"/>
              <w:left w:val="nil"/>
              <w:bottom w:val="single" w:sz="8" w:space="0" w:color="auto"/>
              <w:right w:val="single" w:sz="12" w:space="0" w:color="auto"/>
            </w:tcBorders>
            <w:tcMar>
              <w:top w:w="57" w:type="dxa"/>
              <w:left w:w="108" w:type="dxa"/>
              <w:bottom w:w="57" w:type="dxa"/>
              <w:right w:w="108" w:type="dxa"/>
            </w:tcMar>
          </w:tcPr>
          <w:p w:rsidR="005274C9" w:rsidRPr="000626AF" w:rsidRDefault="005274C9" w:rsidP="00617A13">
            <w:pPr>
              <w:widowControl/>
              <w:spacing w:before="100" w:beforeAutospacing="1" w:after="100" w:afterAutospacing="1" w:line="300" w:lineRule="atLeast"/>
              <w:rPr>
                <w:rFonts w:ascii="新細明體" w:hAnsi="新細明體" w:cs="新細明體"/>
                <w:kern w:val="0"/>
              </w:rPr>
            </w:pPr>
            <w:r w:rsidRPr="000626AF">
              <w:rPr>
                <w:rFonts w:ascii="標楷體" w:eastAsia="標楷體" w:hAnsi="標楷體" w:cs="新細明體" w:hint="eastAsia"/>
                <w:kern w:val="0"/>
              </w:rPr>
              <w:t>旅行社</w:t>
            </w:r>
          </w:p>
        </w:tc>
      </w:tr>
      <w:tr w:rsidR="005274C9" w:rsidRPr="000626AF" w:rsidTr="005274C9">
        <w:trPr>
          <w:cantSplit/>
          <w:jc w:val="center"/>
        </w:trPr>
        <w:tc>
          <w:tcPr>
            <w:tcW w:w="582" w:type="dxa"/>
            <w:vMerge/>
            <w:tcBorders>
              <w:top w:val="nil"/>
              <w:left w:val="single" w:sz="12" w:space="0" w:color="auto"/>
              <w:bottom w:val="single" w:sz="8" w:space="0" w:color="auto"/>
              <w:right w:val="single" w:sz="8" w:space="0" w:color="auto"/>
            </w:tcBorders>
            <w:vAlign w:val="center"/>
          </w:tcPr>
          <w:p w:rsidR="005274C9" w:rsidRPr="000626AF" w:rsidRDefault="005274C9" w:rsidP="00193F99">
            <w:pPr>
              <w:widowControl/>
              <w:rPr>
                <w:rFonts w:ascii="新細明體" w:hAnsi="新細明體" w:cs="新細明體"/>
                <w:kern w:val="0"/>
              </w:rPr>
            </w:pPr>
          </w:p>
        </w:tc>
        <w:tc>
          <w:tcPr>
            <w:tcW w:w="2475" w:type="dxa"/>
            <w:tcBorders>
              <w:top w:val="nil"/>
              <w:left w:val="nil"/>
              <w:bottom w:val="single" w:sz="8" w:space="0" w:color="auto"/>
              <w:right w:val="single" w:sz="8" w:space="0" w:color="auto"/>
            </w:tcBorders>
            <w:tcMar>
              <w:top w:w="57" w:type="dxa"/>
              <w:left w:w="108" w:type="dxa"/>
              <w:bottom w:w="57" w:type="dxa"/>
              <w:right w:w="108" w:type="dxa"/>
            </w:tcMar>
          </w:tcPr>
          <w:p w:rsidR="005274C9" w:rsidRPr="000626AF" w:rsidRDefault="005274C9" w:rsidP="00617A13">
            <w:pPr>
              <w:widowControl/>
              <w:spacing w:before="100" w:beforeAutospacing="1" w:after="100" w:afterAutospacing="1" w:line="300" w:lineRule="atLeast"/>
              <w:rPr>
                <w:rFonts w:ascii="新細明體" w:hAnsi="新細明體" w:cs="新細明體"/>
                <w:kern w:val="0"/>
              </w:rPr>
            </w:pPr>
            <w:r w:rsidRPr="000626AF">
              <w:rPr>
                <w:rFonts w:ascii="標楷體" w:eastAsia="標楷體" w:hAnsi="標楷體" w:cs="新細明體" w:hint="eastAsia"/>
                <w:kern w:val="0"/>
              </w:rPr>
              <w:t>旅宿業</w:t>
            </w:r>
          </w:p>
        </w:tc>
        <w:tc>
          <w:tcPr>
            <w:tcW w:w="6007" w:type="dxa"/>
            <w:tcBorders>
              <w:top w:val="nil"/>
              <w:left w:val="nil"/>
              <w:bottom w:val="single" w:sz="8" w:space="0" w:color="auto"/>
              <w:right w:val="single" w:sz="12" w:space="0" w:color="auto"/>
            </w:tcBorders>
            <w:tcMar>
              <w:top w:w="57" w:type="dxa"/>
              <w:left w:w="108" w:type="dxa"/>
              <w:bottom w:w="57" w:type="dxa"/>
              <w:right w:w="108" w:type="dxa"/>
            </w:tcMar>
          </w:tcPr>
          <w:p w:rsidR="005274C9" w:rsidRPr="000626AF" w:rsidRDefault="005274C9" w:rsidP="00617A13">
            <w:pPr>
              <w:widowControl/>
              <w:spacing w:before="100" w:beforeAutospacing="1" w:after="100" w:afterAutospacing="1" w:line="300" w:lineRule="atLeast"/>
              <w:rPr>
                <w:rFonts w:ascii="新細明體" w:hAnsi="新細明體" w:cs="新細明體"/>
                <w:kern w:val="0"/>
              </w:rPr>
            </w:pPr>
            <w:r w:rsidRPr="000626AF">
              <w:rPr>
                <w:rFonts w:ascii="標楷體" w:eastAsia="標楷體" w:hAnsi="標楷體" w:cs="新細明體" w:hint="eastAsia"/>
                <w:kern w:val="0"/>
              </w:rPr>
              <w:t>旅宿業、民宿業、郵購(網購)旅館、一般旅館業、觀光旅館業、其他住宿服務業</w:t>
            </w:r>
          </w:p>
        </w:tc>
      </w:tr>
      <w:tr w:rsidR="005274C9" w:rsidRPr="000626AF" w:rsidTr="005274C9">
        <w:trPr>
          <w:cantSplit/>
          <w:jc w:val="center"/>
        </w:trPr>
        <w:tc>
          <w:tcPr>
            <w:tcW w:w="582" w:type="dxa"/>
            <w:vMerge/>
            <w:tcBorders>
              <w:top w:val="nil"/>
              <w:left w:val="single" w:sz="12" w:space="0" w:color="auto"/>
              <w:bottom w:val="single" w:sz="8" w:space="0" w:color="auto"/>
              <w:right w:val="single" w:sz="8" w:space="0" w:color="auto"/>
            </w:tcBorders>
            <w:vAlign w:val="center"/>
          </w:tcPr>
          <w:p w:rsidR="005274C9" w:rsidRPr="000626AF" w:rsidRDefault="005274C9" w:rsidP="00193F99">
            <w:pPr>
              <w:widowControl/>
              <w:rPr>
                <w:rFonts w:ascii="新細明體" w:hAnsi="新細明體" w:cs="新細明體"/>
                <w:kern w:val="0"/>
              </w:rPr>
            </w:pPr>
          </w:p>
        </w:tc>
        <w:tc>
          <w:tcPr>
            <w:tcW w:w="2475" w:type="dxa"/>
            <w:tcBorders>
              <w:top w:val="nil"/>
              <w:left w:val="nil"/>
              <w:bottom w:val="single" w:sz="8" w:space="0" w:color="auto"/>
              <w:right w:val="single" w:sz="8" w:space="0" w:color="auto"/>
            </w:tcBorders>
            <w:tcMar>
              <w:top w:w="57" w:type="dxa"/>
              <w:left w:w="108" w:type="dxa"/>
              <w:bottom w:w="57" w:type="dxa"/>
              <w:right w:w="108" w:type="dxa"/>
            </w:tcMar>
          </w:tcPr>
          <w:p w:rsidR="005274C9" w:rsidRPr="000626AF" w:rsidRDefault="005274C9" w:rsidP="00617A13">
            <w:pPr>
              <w:widowControl/>
              <w:spacing w:before="100" w:beforeAutospacing="1" w:after="100" w:afterAutospacing="1" w:line="300" w:lineRule="atLeast"/>
              <w:rPr>
                <w:rFonts w:ascii="新細明體" w:hAnsi="新細明體" w:cs="新細明體"/>
                <w:kern w:val="0"/>
              </w:rPr>
            </w:pPr>
            <w:r w:rsidRPr="000626AF">
              <w:rPr>
                <w:rFonts w:ascii="標楷體" w:eastAsia="標楷體" w:hAnsi="標楷體" w:cs="新細明體" w:hint="eastAsia"/>
                <w:kern w:val="0"/>
              </w:rPr>
              <w:t>觀光遊樂業</w:t>
            </w:r>
          </w:p>
        </w:tc>
        <w:tc>
          <w:tcPr>
            <w:tcW w:w="6007" w:type="dxa"/>
            <w:tcBorders>
              <w:top w:val="nil"/>
              <w:left w:val="nil"/>
              <w:bottom w:val="single" w:sz="8" w:space="0" w:color="auto"/>
              <w:right w:val="single" w:sz="12" w:space="0" w:color="auto"/>
            </w:tcBorders>
            <w:tcMar>
              <w:top w:w="57" w:type="dxa"/>
              <w:left w:w="108" w:type="dxa"/>
              <w:bottom w:w="57" w:type="dxa"/>
              <w:right w:w="108" w:type="dxa"/>
            </w:tcMar>
          </w:tcPr>
          <w:p w:rsidR="005274C9" w:rsidRPr="000626AF" w:rsidRDefault="005274C9" w:rsidP="00617A13">
            <w:pPr>
              <w:widowControl/>
              <w:spacing w:before="100" w:beforeAutospacing="1" w:after="100" w:afterAutospacing="1" w:line="300" w:lineRule="atLeast"/>
              <w:rPr>
                <w:rFonts w:ascii="新細明體" w:hAnsi="新細明體" w:cs="新細明體"/>
                <w:kern w:val="0"/>
              </w:rPr>
            </w:pPr>
            <w:r w:rsidRPr="000626AF">
              <w:rPr>
                <w:rFonts w:ascii="標楷體" w:eastAsia="標楷體" w:hAnsi="標楷體" w:cs="新細明體" w:hint="eastAsia"/>
                <w:kern w:val="0"/>
              </w:rPr>
              <w:t>觀光遊樂業、遊樂園業、</w:t>
            </w:r>
            <w:r w:rsidRPr="000626AF">
              <w:rPr>
                <w:rFonts w:ascii="標楷體" w:eastAsia="標楷體" w:hAnsi="標楷體" w:cs="新細明體" w:hint="eastAsia"/>
                <w:color w:val="000000"/>
                <w:kern w:val="0"/>
              </w:rPr>
              <w:t>森林遊樂業、休閒農場(園)、觀光果(茶)園、</w:t>
            </w:r>
            <w:r w:rsidRPr="000626AF">
              <w:rPr>
                <w:rFonts w:ascii="標楷體" w:eastAsia="標楷體" w:hAnsi="標楷體" w:cs="新細明體" w:hint="eastAsia"/>
                <w:kern w:val="0"/>
              </w:rPr>
              <w:t>生態教育農園、其他觀光遊樂業</w:t>
            </w:r>
          </w:p>
        </w:tc>
      </w:tr>
      <w:tr w:rsidR="005274C9" w:rsidRPr="000626AF" w:rsidTr="005274C9">
        <w:trPr>
          <w:cantSplit/>
          <w:jc w:val="center"/>
        </w:trPr>
        <w:tc>
          <w:tcPr>
            <w:tcW w:w="582" w:type="dxa"/>
            <w:vMerge/>
            <w:tcBorders>
              <w:top w:val="nil"/>
              <w:left w:val="single" w:sz="12" w:space="0" w:color="auto"/>
              <w:bottom w:val="single" w:sz="8" w:space="0" w:color="auto"/>
              <w:right w:val="single" w:sz="8" w:space="0" w:color="auto"/>
            </w:tcBorders>
            <w:vAlign w:val="center"/>
          </w:tcPr>
          <w:p w:rsidR="005274C9" w:rsidRPr="000626AF" w:rsidRDefault="005274C9" w:rsidP="00193F99">
            <w:pPr>
              <w:widowControl/>
              <w:rPr>
                <w:rFonts w:ascii="新細明體" w:hAnsi="新細明體" w:cs="新細明體"/>
                <w:kern w:val="0"/>
              </w:rPr>
            </w:pPr>
          </w:p>
        </w:tc>
        <w:tc>
          <w:tcPr>
            <w:tcW w:w="2475" w:type="dxa"/>
            <w:tcBorders>
              <w:top w:val="nil"/>
              <w:left w:val="nil"/>
              <w:bottom w:val="single" w:sz="8" w:space="0" w:color="auto"/>
              <w:right w:val="single" w:sz="8" w:space="0" w:color="auto"/>
            </w:tcBorders>
            <w:tcMar>
              <w:top w:w="57" w:type="dxa"/>
              <w:left w:w="108" w:type="dxa"/>
              <w:bottom w:w="57" w:type="dxa"/>
              <w:right w:w="108" w:type="dxa"/>
            </w:tcMar>
          </w:tcPr>
          <w:p w:rsidR="005274C9" w:rsidRPr="000626AF" w:rsidRDefault="005274C9" w:rsidP="00617A13">
            <w:pPr>
              <w:widowControl/>
              <w:spacing w:before="100" w:beforeAutospacing="1" w:after="100" w:afterAutospacing="1" w:line="300" w:lineRule="atLeast"/>
              <w:rPr>
                <w:rFonts w:ascii="新細明體" w:hAnsi="新細明體" w:cs="新細明體"/>
                <w:kern w:val="0"/>
              </w:rPr>
            </w:pPr>
            <w:r w:rsidRPr="000626AF">
              <w:rPr>
                <w:rFonts w:ascii="標楷體" w:eastAsia="標楷體" w:hAnsi="標楷體" w:cs="新細明體" w:hint="eastAsia"/>
                <w:kern w:val="0"/>
              </w:rPr>
              <w:t>藝文圖書業</w:t>
            </w:r>
          </w:p>
        </w:tc>
        <w:tc>
          <w:tcPr>
            <w:tcW w:w="6007" w:type="dxa"/>
            <w:tcBorders>
              <w:top w:val="nil"/>
              <w:left w:val="nil"/>
              <w:bottom w:val="single" w:sz="8" w:space="0" w:color="auto"/>
              <w:right w:val="single" w:sz="12" w:space="0" w:color="auto"/>
            </w:tcBorders>
            <w:tcMar>
              <w:top w:w="57" w:type="dxa"/>
              <w:left w:w="108" w:type="dxa"/>
              <w:bottom w:w="57" w:type="dxa"/>
              <w:right w:w="108" w:type="dxa"/>
            </w:tcMar>
          </w:tcPr>
          <w:p w:rsidR="005274C9" w:rsidRPr="000626AF" w:rsidRDefault="005274C9" w:rsidP="00617A13">
            <w:pPr>
              <w:widowControl/>
              <w:spacing w:before="100" w:beforeAutospacing="1" w:after="100" w:afterAutospacing="1" w:line="300" w:lineRule="atLeast"/>
              <w:rPr>
                <w:rFonts w:ascii="新細明體" w:hAnsi="新細明體" w:cs="新細明體"/>
                <w:kern w:val="0"/>
              </w:rPr>
            </w:pPr>
            <w:r w:rsidRPr="000626AF">
              <w:rPr>
                <w:rFonts w:ascii="標楷體" w:eastAsia="標楷體" w:hAnsi="標楷體" w:cs="新細明體" w:hint="eastAsia"/>
                <w:kern w:val="0"/>
              </w:rPr>
              <w:t>書店、博物館、美術館、畫廊、藝廊、音樂會、戲劇、舞蹈、</w:t>
            </w:r>
            <w:r w:rsidRPr="000626AF">
              <w:rPr>
                <w:rFonts w:ascii="標楷體" w:eastAsia="標楷體" w:hAnsi="標楷體" w:cs="新細明體" w:hint="eastAsia"/>
                <w:color w:val="000000"/>
                <w:kern w:val="0"/>
              </w:rPr>
              <w:t>郵購(網購)藝文展演</w:t>
            </w:r>
          </w:p>
        </w:tc>
      </w:tr>
      <w:tr w:rsidR="005274C9" w:rsidRPr="000626AF" w:rsidTr="005274C9">
        <w:trPr>
          <w:cantSplit/>
          <w:jc w:val="center"/>
        </w:trPr>
        <w:tc>
          <w:tcPr>
            <w:tcW w:w="582" w:type="dxa"/>
            <w:vMerge/>
            <w:tcBorders>
              <w:top w:val="nil"/>
              <w:left w:val="single" w:sz="12" w:space="0" w:color="auto"/>
              <w:bottom w:val="single" w:sz="8" w:space="0" w:color="auto"/>
              <w:right w:val="single" w:sz="8" w:space="0" w:color="auto"/>
            </w:tcBorders>
            <w:vAlign w:val="center"/>
          </w:tcPr>
          <w:p w:rsidR="005274C9" w:rsidRPr="000626AF" w:rsidRDefault="005274C9" w:rsidP="00193F99">
            <w:pPr>
              <w:widowControl/>
              <w:rPr>
                <w:rFonts w:ascii="新細明體" w:hAnsi="新細明體" w:cs="新細明體"/>
                <w:kern w:val="0"/>
              </w:rPr>
            </w:pPr>
          </w:p>
        </w:tc>
        <w:tc>
          <w:tcPr>
            <w:tcW w:w="2475" w:type="dxa"/>
            <w:tcBorders>
              <w:top w:val="nil"/>
              <w:left w:val="nil"/>
              <w:bottom w:val="single" w:sz="8" w:space="0" w:color="auto"/>
              <w:right w:val="single" w:sz="8" w:space="0" w:color="auto"/>
            </w:tcBorders>
            <w:tcMar>
              <w:top w:w="57" w:type="dxa"/>
              <w:left w:w="108" w:type="dxa"/>
              <w:bottom w:w="57" w:type="dxa"/>
              <w:right w:w="108" w:type="dxa"/>
            </w:tcMar>
          </w:tcPr>
          <w:p w:rsidR="005274C9" w:rsidRPr="000626AF" w:rsidRDefault="005274C9" w:rsidP="00617A13">
            <w:pPr>
              <w:widowControl/>
              <w:spacing w:before="100" w:beforeAutospacing="1" w:after="100" w:afterAutospacing="1" w:line="300" w:lineRule="atLeast"/>
              <w:rPr>
                <w:rFonts w:ascii="新細明體" w:hAnsi="新細明體" w:cs="新細明體"/>
                <w:kern w:val="0"/>
              </w:rPr>
            </w:pPr>
            <w:r w:rsidRPr="000626AF">
              <w:rPr>
                <w:rFonts w:ascii="標楷體" w:eastAsia="標楷體" w:hAnsi="標楷體" w:cs="新細明體" w:hint="eastAsia"/>
                <w:kern w:val="0"/>
              </w:rPr>
              <w:t>交通運輸業</w:t>
            </w:r>
          </w:p>
          <w:p w:rsidR="005274C9" w:rsidRPr="000626AF" w:rsidRDefault="005274C9" w:rsidP="00617A13">
            <w:pPr>
              <w:widowControl/>
              <w:spacing w:before="100" w:beforeAutospacing="1" w:after="100" w:afterAutospacing="1" w:line="300" w:lineRule="atLeast"/>
              <w:rPr>
                <w:rFonts w:ascii="新細明體" w:hAnsi="新細明體" w:cs="新細明體"/>
                <w:kern w:val="0"/>
              </w:rPr>
            </w:pPr>
            <w:r w:rsidRPr="000626AF">
              <w:rPr>
                <w:rFonts w:ascii="標楷體" w:eastAsia="標楷體" w:hAnsi="標楷體" w:cs="新細明體" w:hint="eastAsia"/>
                <w:kern w:val="0"/>
              </w:rPr>
              <w:t> </w:t>
            </w:r>
          </w:p>
        </w:tc>
        <w:tc>
          <w:tcPr>
            <w:tcW w:w="6007" w:type="dxa"/>
            <w:tcBorders>
              <w:top w:val="nil"/>
              <w:left w:val="nil"/>
              <w:bottom w:val="single" w:sz="8" w:space="0" w:color="auto"/>
              <w:right w:val="single" w:sz="12" w:space="0" w:color="auto"/>
            </w:tcBorders>
            <w:tcMar>
              <w:top w:w="57" w:type="dxa"/>
              <w:left w:w="108" w:type="dxa"/>
              <w:bottom w:w="57" w:type="dxa"/>
              <w:right w:w="108" w:type="dxa"/>
            </w:tcMar>
          </w:tcPr>
          <w:p w:rsidR="005274C9" w:rsidRPr="000626AF" w:rsidRDefault="005274C9" w:rsidP="00617A13">
            <w:pPr>
              <w:widowControl/>
              <w:spacing w:before="100" w:beforeAutospacing="1" w:after="100" w:afterAutospacing="1" w:line="300" w:lineRule="atLeast"/>
              <w:rPr>
                <w:rFonts w:ascii="新細明體" w:hAnsi="新細明體" w:cs="新細明體"/>
                <w:kern w:val="0"/>
              </w:rPr>
            </w:pPr>
            <w:r w:rsidRPr="000626AF">
              <w:rPr>
                <w:rFonts w:ascii="標楷體" w:eastAsia="標楷體" w:hAnsi="標楷體" w:cs="新細明體" w:hint="eastAsia"/>
                <w:kern w:val="0"/>
              </w:rPr>
              <w:t>交通運輸業、停車場業</w:t>
            </w:r>
            <w:r w:rsidRPr="000626AF">
              <w:rPr>
                <w:rFonts w:ascii="標楷體" w:eastAsia="標楷體" w:hAnsi="標楷體" w:cs="新細明體" w:hint="eastAsia"/>
                <w:color w:val="C0C0C0"/>
                <w:kern w:val="0"/>
              </w:rPr>
              <w:t>、</w:t>
            </w:r>
            <w:r w:rsidRPr="000626AF">
              <w:rPr>
                <w:rFonts w:ascii="標楷體" w:eastAsia="標楷體" w:hAnsi="標楷體" w:cs="新細明體" w:hint="eastAsia"/>
                <w:color w:val="000000"/>
                <w:kern w:val="0"/>
              </w:rPr>
              <w:t>交通工具租賃業</w:t>
            </w:r>
            <w:r w:rsidRPr="000626AF">
              <w:rPr>
                <w:rFonts w:ascii="標楷體" w:eastAsia="標楷體" w:hAnsi="標楷體" w:cs="新細明體" w:hint="eastAsia"/>
                <w:kern w:val="0"/>
              </w:rPr>
              <w:t>、民用航空運輸業、海洋水運業、一般汽車客運業、計程車、鐵路運輸業、郵購(網購)交通運輸業、其他運輸輔助業</w:t>
            </w:r>
          </w:p>
        </w:tc>
      </w:tr>
      <w:tr w:rsidR="005274C9" w:rsidRPr="000626AF" w:rsidTr="005274C9">
        <w:trPr>
          <w:cantSplit/>
          <w:jc w:val="center"/>
        </w:trPr>
        <w:tc>
          <w:tcPr>
            <w:tcW w:w="582" w:type="dxa"/>
            <w:vMerge/>
            <w:tcBorders>
              <w:top w:val="nil"/>
              <w:left w:val="single" w:sz="12" w:space="0" w:color="auto"/>
              <w:bottom w:val="single" w:sz="8" w:space="0" w:color="auto"/>
              <w:right w:val="single" w:sz="8" w:space="0" w:color="auto"/>
            </w:tcBorders>
            <w:vAlign w:val="center"/>
          </w:tcPr>
          <w:p w:rsidR="005274C9" w:rsidRPr="000626AF" w:rsidRDefault="005274C9" w:rsidP="00193F99">
            <w:pPr>
              <w:widowControl/>
              <w:rPr>
                <w:rFonts w:ascii="新細明體" w:hAnsi="新細明體" w:cs="新細明體"/>
                <w:kern w:val="0"/>
              </w:rPr>
            </w:pPr>
          </w:p>
        </w:tc>
        <w:tc>
          <w:tcPr>
            <w:tcW w:w="2475" w:type="dxa"/>
            <w:tcBorders>
              <w:top w:val="nil"/>
              <w:left w:val="nil"/>
              <w:bottom w:val="single" w:sz="8" w:space="0" w:color="auto"/>
              <w:right w:val="single" w:sz="8" w:space="0" w:color="auto"/>
            </w:tcBorders>
            <w:tcMar>
              <w:top w:w="57" w:type="dxa"/>
              <w:left w:w="108" w:type="dxa"/>
              <w:bottom w:w="57" w:type="dxa"/>
              <w:right w:w="108" w:type="dxa"/>
            </w:tcMar>
          </w:tcPr>
          <w:p w:rsidR="005274C9" w:rsidRPr="000626AF" w:rsidRDefault="005274C9" w:rsidP="00617A13">
            <w:pPr>
              <w:widowControl/>
              <w:spacing w:before="100" w:beforeAutospacing="1" w:after="100" w:afterAutospacing="1" w:line="300" w:lineRule="atLeast"/>
              <w:rPr>
                <w:rFonts w:ascii="新細明體" w:hAnsi="新細明體" w:cs="新細明體"/>
                <w:kern w:val="0"/>
              </w:rPr>
            </w:pPr>
            <w:r w:rsidRPr="000626AF">
              <w:rPr>
                <w:rFonts w:ascii="標楷體" w:eastAsia="標楷體" w:hAnsi="標楷體" w:cs="新細明體" w:hint="eastAsia"/>
                <w:kern w:val="0"/>
              </w:rPr>
              <w:t>餐飲業</w:t>
            </w:r>
          </w:p>
        </w:tc>
        <w:tc>
          <w:tcPr>
            <w:tcW w:w="6007" w:type="dxa"/>
            <w:tcBorders>
              <w:top w:val="nil"/>
              <w:left w:val="nil"/>
              <w:bottom w:val="single" w:sz="8" w:space="0" w:color="auto"/>
              <w:right w:val="single" w:sz="12" w:space="0" w:color="auto"/>
            </w:tcBorders>
            <w:tcMar>
              <w:top w:w="57" w:type="dxa"/>
              <w:left w:w="108" w:type="dxa"/>
              <w:bottom w:w="57" w:type="dxa"/>
              <w:right w:w="108" w:type="dxa"/>
            </w:tcMar>
          </w:tcPr>
          <w:p w:rsidR="005274C9" w:rsidRPr="000626AF" w:rsidRDefault="005274C9" w:rsidP="00617A13">
            <w:pPr>
              <w:widowControl/>
              <w:spacing w:before="100" w:beforeAutospacing="1" w:after="100" w:afterAutospacing="1" w:line="300" w:lineRule="atLeast"/>
              <w:rPr>
                <w:rFonts w:ascii="新細明體" w:hAnsi="新細明體" w:cs="新細明體"/>
                <w:kern w:val="0"/>
              </w:rPr>
            </w:pPr>
            <w:r w:rsidRPr="000626AF">
              <w:rPr>
                <w:rFonts w:ascii="標楷體" w:eastAsia="標楷體" w:hAnsi="標楷體" w:cs="新細明體" w:hint="eastAsia"/>
                <w:kern w:val="0"/>
              </w:rPr>
              <w:t>餐飲業、飲料店業、餐館業</w:t>
            </w:r>
          </w:p>
        </w:tc>
      </w:tr>
      <w:tr w:rsidR="005274C9" w:rsidRPr="000626AF" w:rsidTr="005274C9">
        <w:trPr>
          <w:cantSplit/>
          <w:jc w:val="center"/>
        </w:trPr>
        <w:tc>
          <w:tcPr>
            <w:tcW w:w="582" w:type="dxa"/>
            <w:vMerge/>
            <w:tcBorders>
              <w:top w:val="nil"/>
              <w:left w:val="single" w:sz="12" w:space="0" w:color="auto"/>
              <w:bottom w:val="single" w:sz="8" w:space="0" w:color="auto"/>
              <w:right w:val="single" w:sz="8" w:space="0" w:color="auto"/>
            </w:tcBorders>
            <w:vAlign w:val="center"/>
          </w:tcPr>
          <w:p w:rsidR="005274C9" w:rsidRPr="000626AF" w:rsidRDefault="005274C9" w:rsidP="00193F99">
            <w:pPr>
              <w:widowControl/>
              <w:rPr>
                <w:rFonts w:ascii="新細明體" w:hAnsi="新細明體" w:cs="新細明體"/>
                <w:kern w:val="0"/>
              </w:rPr>
            </w:pPr>
          </w:p>
        </w:tc>
        <w:tc>
          <w:tcPr>
            <w:tcW w:w="2475" w:type="dxa"/>
            <w:tcBorders>
              <w:top w:val="nil"/>
              <w:left w:val="nil"/>
              <w:bottom w:val="single" w:sz="8" w:space="0" w:color="auto"/>
              <w:right w:val="single" w:sz="8" w:space="0" w:color="auto"/>
            </w:tcBorders>
            <w:tcMar>
              <w:top w:w="57" w:type="dxa"/>
              <w:left w:w="108" w:type="dxa"/>
              <w:bottom w:w="57" w:type="dxa"/>
              <w:right w:w="108" w:type="dxa"/>
            </w:tcMar>
          </w:tcPr>
          <w:p w:rsidR="005274C9" w:rsidRPr="000626AF" w:rsidRDefault="005274C9" w:rsidP="00617A13">
            <w:pPr>
              <w:widowControl/>
              <w:spacing w:before="100" w:beforeAutospacing="1" w:after="100" w:afterAutospacing="1" w:line="300" w:lineRule="atLeast"/>
              <w:rPr>
                <w:rFonts w:ascii="新細明體" w:hAnsi="新細明體" w:cs="新細明體"/>
                <w:kern w:val="0"/>
              </w:rPr>
            </w:pPr>
            <w:r w:rsidRPr="000626AF">
              <w:rPr>
                <w:rFonts w:ascii="標楷體" w:eastAsia="標楷體" w:hAnsi="標楷體" w:cs="新細明體" w:hint="eastAsia"/>
                <w:kern w:val="0"/>
              </w:rPr>
              <w:t>農特產及手工藝品業</w:t>
            </w:r>
          </w:p>
        </w:tc>
        <w:tc>
          <w:tcPr>
            <w:tcW w:w="6007" w:type="dxa"/>
            <w:tcBorders>
              <w:top w:val="nil"/>
              <w:left w:val="nil"/>
              <w:bottom w:val="single" w:sz="8" w:space="0" w:color="auto"/>
              <w:right w:val="single" w:sz="12" w:space="0" w:color="auto"/>
            </w:tcBorders>
            <w:tcMar>
              <w:top w:w="57" w:type="dxa"/>
              <w:left w:w="108" w:type="dxa"/>
              <w:bottom w:w="57" w:type="dxa"/>
              <w:right w:w="108" w:type="dxa"/>
            </w:tcMar>
          </w:tcPr>
          <w:p w:rsidR="005274C9" w:rsidRPr="000626AF" w:rsidRDefault="005274C9" w:rsidP="00617A13">
            <w:pPr>
              <w:widowControl/>
              <w:spacing w:before="100" w:beforeAutospacing="1" w:after="100" w:afterAutospacing="1" w:line="300" w:lineRule="atLeast"/>
              <w:jc w:val="both"/>
              <w:rPr>
                <w:rFonts w:ascii="新細明體" w:hAnsi="新細明體" w:cs="新細明體"/>
                <w:kern w:val="0"/>
              </w:rPr>
            </w:pPr>
            <w:r w:rsidRPr="000626AF">
              <w:rPr>
                <w:rFonts w:ascii="標楷體" w:eastAsia="標楷體" w:hAnsi="標楷體" w:cs="新細明體" w:hint="eastAsia"/>
                <w:kern w:val="0"/>
              </w:rPr>
              <w:t>農特產及手工藝品業、其他農畜水產品零售業、其他木製品製造業、其他農事服務業</w:t>
            </w:r>
          </w:p>
        </w:tc>
      </w:tr>
      <w:tr w:rsidR="005274C9" w:rsidRPr="000626AF" w:rsidTr="005274C9">
        <w:trPr>
          <w:cantSplit/>
          <w:jc w:val="center"/>
        </w:trPr>
        <w:tc>
          <w:tcPr>
            <w:tcW w:w="582" w:type="dxa"/>
            <w:vMerge/>
            <w:tcBorders>
              <w:top w:val="nil"/>
              <w:left w:val="single" w:sz="12" w:space="0" w:color="auto"/>
              <w:bottom w:val="single" w:sz="8" w:space="0" w:color="auto"/>
              <w:right w:val="single" w:sz="8" w:space="0" w:color="auto"/>
            </w:tcBorders>
            <w:vAlign w:val="center"/>
          </w:tcPr>
          <w:p w:rsidR="005274C9" w:rsidRPr="000626AF" w:rsidRDefault="005274C9" w:rsidP="00193F99">
            <w:pPr>
              <w:widowControl/>
              <w:rPr>
                <w:rFonts w:ascii="新細明體" w:hAnsi="新細明體" w:cs="新細明體"/>
                <w:kern w:val="0"/>
              </w:rPr>
            </w:pPr>
          </w:p>
        </w:tc>
        <w:tc>
          <w:tcPr>
            <w:tcW w:w="2475" w:type="dxa"/>
            <w:tcBorders>
              <w:top w:val="nil"/>
              <w:left w:val="nil"/>
              <w:bottom w:val="single" w:sz="8" w:space="0" w:color="auto"/>
              <w:right w:val="single" w:sz="8" w:space="0" w:color="auto"/>
            </w:tcBorders>
            <w:tcMar>
              <w:top w:w="57" w:type="dxa"/>
              <w:left w:w="108" w:type="dxa"/>
              <w:bottom w:w="57" w:type="dxa"/>
              <w:right w:w="108" w:type="dxa"/>
            </w:tcMar>
          </w:tcPr>
          <w:p w:rsidR="005274C9" w:rsidRPr="000626AF" w:rsidRDefault="005274C9" w:rsidP="00617A13">
            <w:pPr>
              <w:widowControl/>
              <w:spacing w:before="100" w:beforeAutospacing="1" w:after="100" w:afterAutospacing="1" w:line="300" w:lineRule="atLeast"/>
              <w:rPr>
                <w:rFonts w:ascii="新細明體" w:hAnsi="新細明體" w:cs="新細明體"/>
                <w:kern w:val="0"/>
              </w:rPr>
            </w:pPr>
            <w:r w:rsidRPr="000626AF">
              <w:rPr>
                <w:rFonts w:ascii="標楷體" w:eastAsia="標楷體" w:hAnsi="標楷體" w:cs="新細明體" w:hint="eastAsia"/>
                <w:kern w:val="0"/>
              </w:rPr>
              <w:t>加油站</w:t>
            </w:r>
          </w:p>
        </w:tc>
        <w:tc>
          <w:tcPr>
            <w:tcW w:w="6007" w:type="dxa"/>
            <w:tcBorders>
              <w:top w:val="nil"/>
              <w:left w:val="nil"/>
              <w:bottom w:val="single" w:sz="8" w:space="0" w:color="auto"/>
              <w:right w:val="single" w:sz="12" w:space="0" w:color="auto"/>
            </w:tcBorders>
            <w:tcMar>
              <w:top w:w="57" w:type="dxa"/>
              <w:left w:w="108" w:type="dxa"/>
              <w:bottom w:w="57" w:type="dxa"/>
              <w:right w:w="108" w:type="dxa"/>
            </w:tcMar>
          </w:tcPr>
          <w:p w:rsidR="005274C9" w:rsidRPr="000626AF" w:rsidRDefault="005274C9" w:rsidP="00617A13">
            <w:pPr>
              <w:widowControl/>
              <w:spacing w:before="100" w:beforeAutospacing="1" w:after="100" w:afterAutospacing="1" w:line="300" w:lineRule="atLeast"/>
              <w:rPr>
                <w:rFonts w:ascii="新細明體" w:hAnsi="新細明體" w:cs="新細明體"/>
                <w:kern w:val="0"/>
              </w:rPr>
            </w:pPr>
            <w:r w:rsidRPr="000626AF">
              <w:rPr>
                <w:rFonts w:ascii="標楷體" w:eastAsia="標楷體" w:hAnsi="標楷體" w:cs="新細明體" w:hint="eastAsia"/>
                <w:kern w:val="0"/>
              </w:rPr>
              <w:t>加油站業</w:t>
            </w:r>
          </w:p>
        </w:tc>
      </w:tr>
      <w:tr w:rsidR="005274C9" w:rsidRPr="000626AF" w:rsidTr="005274C9">
        <w:trPr>
          <w:cantSplit/>
          <w:jc w:val="center"/>
        </w:trPr>
        <w:tc>
          <w:tcPr>
            <w:tcW w:w="582" w:type="dxa"/>
            <w:vMerge/>
            <w:tcBorders>
              <w:top w:val="nil"/>
              <w:left w:val="single" w:sz="12" w:space="0" w:color="auto"/>
              <w:bottom w:val="single" w:sz="8" w:space="0" w:color="auto"/>
              <w:right w:val="single" w:sz="8" w:space="0" w:color="auto"/>
            </w:tcBorders>
            <w:vAlign w:val="center"/>
          </w:tcPr>
          <w:p w:rsidR="005274C9" w:rsidRPr="000626AF" w:rsidRDefault="005274C9" w:rsidP="00193F99">
            <w:pPr>
              <w:widowControl/>
              <w:rPr>
                <w:rFonts w:ascii="新細明體" w:hAnsi="新細明體" w:cs="新細明體"/>
                <w:kern w:val="0"/>
              </w:rPr>
            </w:pPr>
          </w:p>
        </w:tc>
        <w:tc>
          <w:tcPr>
            <w:tcW w:w="2475" w:type="dxa"/>
            <w:tcBorders>
              <w:top w:val="nil"/>
              <w:left w:val="nil"/>
              <w:bottom w:val="single" w:sz="8" w:space="0" w:color="auto"/>
              <w:right w:val="single" w:sz="8" w:space="0" w:color="auto"/>
            </w:tcBorders>
            <w:tcMar>
              <w:top w:w="57" w:type="dxa"/>
              <w:left w:w="108" w:type="dxa"/>
              <w:bottom w:w="57" w:type="dxa"/>
              <w:right w:w="108" w:type="dxa"/>
            </w:tcMar>
          </w:tcPr>
          <w:p w:rsidR="005274C9" w:rsidRPr="000626AF" w:rsidRDefault="005274C9" w:rsidP="00617A13">
            <w:pPr>
              <w:widowControl/>
              <w:spacing w:before="100" w:beforeAutospacing="1" w:after="100" w:afterAutospacing="1" w:line="300" w:lineRule="atLeast"/>
              <w:rPr>
                <w:rFonts w:ascii="新細明體" w:hAnsi="新細明體" w:cs="新細明體"/>
                <w:kern w:val="0"/>
              </w:rPr>
            </w:pPr>
            <w:r w:rsidRPr="000626AF">
              <w:rPr>
                <w:rFonts w:ascii="標楷體" w:eastAsia="標楷體" w:hAnsi="標楷體" w:cs="新細明體" w:hint="eastAsia"/>
                <w:kern w:val="0"/>
              </w:rPr>
              <w:t>體育用品</w:t>
            </w:r>
          </w:p>
        </w:tc>
        <w:tc>
          <w:tcPr>
            <w:tcW w:w="6007" w:type="dxa"/>
            <w:tcBorders>
              <w:top w:val="nil"/>
              <w:left w:val="nil"/>
              <w:bottom w:val="single" w:sz="8" w:space="0" w:color="auto"/>
              <w:right w:val="single" w:sz="12" w:space="0" w:color="auto"/>
            </w:tcBorders>
            <w:tcMar>
              <w:top w:w="57" w:type="dxa"/>
              <w:left w:w="108" w:type="dxa"/>
              <w:bottom w:w="57" w:type="dxa"/>
              <w:right w:w="108" w:type="dxa"/>
            </w:tcMar>
          </w:tcPr>
          <w:p w:rsidR="005274C9" w:rsidRPr="000626AF" w:rsidRDefault="005274C9" w:rsidP="00617A13">
            <w:pPr>
              <w:widowControl/>
              <w:spacing w:before="100" w:beforeAutospacing="1" w:after="100" w:afterAutospacing="1" w:line="300" w:lineRule="atLeast"/>
              <w:rPr>
                <w:rFonts w:ascii="新細明體" w:hAnsi="新細明體" w:cs="新細明體"/>
                <w:kern w:val="0"/>
              </w:rPr>
            </w:pPr>
            <w:r w:rsidRPr="000626AF">
              <w:rPr>
                <w:rFonts w:ascii="標楷體" w:eastAsia="標楷體" w:hAnsi="標楷體" w:cs="新細明體" w:hint="eastAsia"/>
                <w:kern w:val="0"/>
              </w:rPr>
              <w:t>體育用品業、體育用品器材零售業</w:t>
            </w:r>
            <w:r>
              <w:rPr>
                <w:rFonts w:ascii="標楷體" w:eastAsia="標楷體" w:hAnsi="標楷體" w:cs="新細明體" w:hint="eastAsia"/>
                <w:kern w:val="0"/>
              </w:rPr>
              <w:t>、</w:t>
            </w:r>
            <w:r w:rsidRPr="00901C96">
              <w:rPr>
                <w:rFonts w:ascii="標楷體" w:eastAsia="標楷體" w:hAnsi="標楷體" w:cs="新細明體" w:hint="eastAsia"/>
                <w:kern w:val="0"/>
              </w:rPr>
              <w:t>自行車專賣店</w:t>
            </w:r>
          </w:p>
        </w:tc>
      </w:tr>
      <w:tr w:rsidR="005274C9" w:rsidRPr="000626AF" w:rsidTr="005274C9">
        <w:trPr>
          <w:cantSplit/>
          <w:jc w:val="center"/>
        </w:trPr>
        <w:tc>
          <w:tcPr>
            <w:tcW w:w="582" w:type="dxa"/>
            <w:vMerge/>
            <w:tcBorders>
              <w:top w:val="nil"/>
              <w:left w:val="single" w:sz="12" w:space="0" w:color="auto"/>
              <w:bottom w:val="single" w:sz="8" w:space="0" w:color="auto"/>
              <w:right w:val="single" w:sz="8" w:space="0" w:color="auto"/>
            </w:tcBorders>
            <w:vAlign w:val="center"/>
          </w:tcPr>
          <w:p w:rsidR="005274C9" w:rsidRPr="000626AF" w:rsidRDefault="005274C9" w:rsidP="00193F99">
            <w:pPr>
              <w:widowControl/>
              <w:rPr>
                <w:rFonts w:ascii="新細明體" w:hAnsi="新細明體" w:cs="新細明體"/>
                <w:kern w:val="0"/>
              </w:rPr>
            </w:pPr>
          </w:p>
        </w:tc>
        <w:tc>
          <w:tcPr>
            <w:tcW w:w="2475" w:type="dxa"/>
            <w:tcBorders>
              <w:top w:val="nil"/>
              <w:left w:val="nil"/>
              <w:bottom w:val="single" w:sz="8" w:space="0" w:color="auto"/>
              <w:right w:val="single" w:sz="8" w:space="0" w:color="auto"/>
            </w:tcBorders>
            <w:tcMar>
              <w:top w:w="57" w:type="dxa"/>
              <w:left w:w="108" w:type="dxa"/>
              <w:bottom w:w="57" w:type="dxa"/>
              <w:right w:w="108" w:type="dxa"/>
            </w:tcMar>
          </w:tcPr>
          <w:p w:rsidR="005274C9" w:rsidRPr="000626AF" w:rsidRDefault="005274C9" w:rsidP="00617A13">
            <w:pPr>
              <w:widowControl/>
              <w:spacing w:before="100" w:beforeAutospacing="1" w:after="100" w:afterAutospacing="1" w:line="300" w:lineRule="atLeast"/>
              <w:rPr>
                <w:rFonts w:ascii="新細明體" w:hAnsi="新細明體" w:cs="新細明體"/>
                <w:kern w:val="0"/>
              </w:rPr>
            </w:pPr>
            <w:r w:rsidRPr="000626AF">
              <w:rPr>
                <w:rFonts w:ascii="標楷體" w:eastAsia="標楷體" w:hAnsi="標楷體" w:cs="新細明體" w:hint="eastAsia"/>
                <w:kern w:val="0"/>
              </w:rPr>
              <w:t>其他觀光服務業</w:t>
            </w:r>
          </w:p>
        </w:tc>
        <w:tc>
          <w:tcPr>
            <w:tcW w:w="6007" w:type="dxa"/>
            <w:tcBorders>
              <w:top w:val="nil"/>
              <w:left w:val="nil"/>
              <w:bottom w:val="single" w:sz="8" w:space="0" w:color="auto"/>
              <w:right w:val="single" w:sz="12" w:space="0" w:color="auto"/>
            </w:tcBorders>
            <w:tcMar>
              <w:top w:w="57" w:type="dxa"/>
              <w:left w:w="108" w:type="dxa"/>
              <w:bottom w:w="57" w:type="dxa"/>
              <w:right w:w="108" w:type="dxa"/>
            </w:tcMar>
          </w:tcPr>
          <w:p w:rsidR="005274C9" w:rsidRPr="000626AF" w:rsidRDefault="005274C9" w:rsidP="00617A13">
            <w:pPr>
              <w:widowControl/>
              <w:spacing w:before="100" w:beforeAutospacing="1" w:after="100" w:afterAutospacing="1" w:line="300" w:lineRule="atLeast"/>
              <w:rPr>
                <w:rFonts w:ascii="新細明體" w:hAnsi="新細明體" w:cs="新細明體"/>
                <w:kern w:val="0"/>
              </w:rPr>
            </w:pPr>
            <w:r w:rsidRPr="000626AF">
              <w:rPr>
                <w:rFonts w:ascii="標楷體" w:eastAsia="標楷體" w:hAnsi="標楷體" w:cs="新細明體" w:hint="eastAsia"/>
                <w:kern w:val="0"/>
              </w:rPr>
              <w:t>運動場館、身心障礙者福利服務業</w:t>
            </w:r>
            <w:r>
              <w:rPr>
                <w:rFonts w:ascii="標楷體" w:eastAsia="標楷體" w:hAnsi="標楷體" w:cs="新細明體" w:hint="eastAsia"/>
                <w:kern w:val="0"/>
              </w:rPr>
              <w:t>、</w:t>
            </w:r>
            <w:r w:rsidRPr="00901C96">
              <w:rPr>
                <w:rFonts w:ascii="標楷體" w:eastAsia="標楷體" w:hAnsi="標楷體" w:cs="新細明體" w:hint="eastAsia"/>
                <w:kern w:val="0"/>
              </w:rPr>
              <w:t>攝影器材及沖洗專賣店</w:t>
            </w:r>
            <w:r w:rsidRPr="00E50FE8">
              <w:rPr>
                <w:rFonts w:ascii="標楷體" w:eastAsia="標楷體" w:hAnsi="標楷體" w:cs="新細明體" w:hint="eastAsia"/>
                <w:kern w:val="0"/>
              </w:rPr>
              <w:t>、未分類其他服務業（輪胎及汽車維修）、未分類其他零售業（MIT微笑協力專賣店）</w:t>
            </w:r>
          </w:p>
        </w:tc>
      </w:tr>
      <w:tr w:rsidR="005274C9" w:rsidRPr="000626AF" w:rsidTr="005274C9">
        <w:trPr>
          <w:cantSplit/>
          <w:jc w:val="center"/>
        </w:trPr>
        <w:tc>
          <w:tcPr>
            <w:tcW w:w="582" w:type="dxa"/>
            <w:vMerge w:val="restart"/>
            <w:tcBorders>
              <w:top w:val="nil"/>
              <w:left w:val="single" w:sz="12" w:space="0" w:color="auto"/>
              <w:bottom w:val="single" w:sz="12" w:space="0" w:color="auto"/>
              <w:right w:val="single" w:sz="8" w:space="0" w:color="auto"/>
            </w:tcBorders>
            <w:tcMar>
              <w:top w:w="57" w:type="dxa"/>
              <w:left w:w="108" w:type="dxa"/>
              <w:bottom w:w="57" w:type="dxa"/>
              <w:right w:w="108" w:type="dxa"/>
            </w:tcMar>
            <w:textDirection w:val="tbRlV"/>
            <w:vAlign w:val="center"/>
          </w:tcPr>
          <w:p w:rsidR="005274C9" w:rsidRPr="000626AF" w:rsidRDefault="005274C9" w:rsidP="00193F99">
            <w:pPr>
              <w:widowControl/>
              <w:spacing w:line="300" w:lineRule="atLeast"/>
              <w:ind w:left="113" w:right="113"/>
              <w:rPr>
                <w:rFonts w:ascii="新細明體" w:hAnsi="新細明體" w:cs="新細明體"/>
                <w:kern w:val="0"/>
              </w:rPr>
            </w:pPr>
            <w:r w:rsidRPr="000626AF">
              <w:rPr>
                <w:rFonts w:ascii="標楷體" w:eastAsia="標楷體" w:hAnsi="標楷體" w:cs="新細明體" w:hint="eastAsia"/>
                <w:kern w:val="0"/>
              </w:rPr>
              <w:t>商圈業別</w:t>
            </w:r>
          </w:p>
        </w:tc>
        <w:tc>
          <w:tcPr>
            <w:tcW w:w="2475" w:type="dxa"/>
            <w:tcBorders>
              <w:top w:val="nil"/>
              <w:left w:val="nil"/>
              <w:bottom w:val="single" w:sz="8" w:space="0" w:color="auto"/>
              <w:right w:val="single" w:sz="8" w:space="0" w:color="auto"/>
            </w:tcBorders>
            <w:tcMar>
              <w:top w:w="57" w:type="dxa"/>
              <w:left w:w="108" w:type="dxa"/>
              <w:bottom w:w="57" w:type="dxa"/>
              <w:right w:w="108" w:type="dxa"/>
            </w:tcMar>
          </w:tcPr>
          <w:p w:rsidR="005274C9" w:rsidRPr="000626AF" w:rsidRDefault="005274C9" w:rsidP="00617A13">
            <w:pPr>
              <w:widowControl/>
              <w:spacing w:before="100" w:beforeAutospacing="1" w:after="100" w:afterAutospacing="1" w:line="300" w:lineRule="atLeast"/>
              <w:rPr>
                <w:rFonts w:ascii="新細明體" w:hAnsi="新細明體" w:cs="新細明體"/>
                <w:kern w:val="0"/>
              </w:rPr>
            </w:pPr>
            <w:r w:rsidRPr="000626AF">
              <w:rPr>
                <w:rFonts w:ascii="標楷體" w:eastAsia="標楷體" w:hAnsi="標楷體" w:cs="新細明體" w:hint="eastAsia"/>
                <w:kern w:val="0"/>
              </w:rPr>
              <w:t>服飾業</w:t>
            </w:r>
          </w:p>
        </w:tc>
        <w:tc>
          <w:tcPr>
            <w:tcW w:w="6007" w:type="dxa"/>
            <w:tcBorders>
              <w:top w:val="nil"/>
              <w:left w:val="nil"/>
              <w:bottom w:val="single" w:sz="8" w:space="0" w:color="auto"/>
              <w:right w:val="single" w:sz="12" w:space="0" w:color="auto"/>
            </w:tcBorders>
            <w:tcMar>
              <w:top w:w="57" w:type="dxa"/>
              <w:left w:w="108" w:type="dxa"/>
              <w:bottom w:w="57" w:type="dxa"/>
              <w:right w:w="108" w:type="dxa"/>
            </w:tcMar>
          </w:tcPr>
          <w:p w:rsidR="005274C9" w:rsidRPr="000626AF" w:rsidRDefault="005274C9" w:rsidP="00617A13">
            <w:pPr>
              <w:widowControl/>
              <w:spacing w:before="100" w:beforeAutospacing="1" w:after="100" w:afterAutospacing="1" w:line="300" w:lineRule="atLeast"/>
              <w:rPr>
                <w:rFonts w:ascii="新細明體" w:hAnsi="新細明體" w:cs="新細明體"/>
                <w:kern w:val="0"/>
              </w:rPr>
            </w:pPr>
            <w:r w:rsidRPr="000626AF">
              <w:rPr>
                <w:rFonts w:ascii="標楷體" w:eastAsia="標楷體" w:hAnsi="標楷體" w:cs="新細明體" w:hint="eastAsia"/>
                <w:kern w:val="0"/>
              </w:rPr>
              <w:t>服飾業、成衣零售業</w:t>
            </w:r>
          </w:p>
        </w:tc>
      </w:tr>
      <w:tr w:rsidR="005274C9" w:rsidRPr="000626AF" w:rsidTr="005274C9">
        <w:trPr>
          <w:cantSplit/>
          <w:jc w:val="center"/>
        </w:trPr>
        <w:tc>
          <w:tcPr>
            <w:tcW w:w="582" w:type="dxa"/>
            <w:vMerge/>
            <w:tcBorders>
              <w:top w:val="nil"/>
              <w:left w:val="single" w:sz="12" w:space="0" w:color="auto"/>
              <w:bottom w:val="single" w:sz="12" w:space="0" w:color="auto"/>
              <w:right w:val="single" w:sz="8" w:space="0" w:color="auto"/>
            </w:tcBorders>
            <w:vAlign w:val="center"/>
          </w:tcPr>
          <w:p w:rsidR="005274C9" w:rsidRPr="000626AF" w:rsidRDefault="005274C9" w:rsidP="00193F99">
            <w:pPr>
              <w:widowControl/>
              <w:rPr>
                <w:rFonts w:ascii="新細明體" w:hAnsi="新細明體" w:cs="新細明體"/>
                <w:kern w:val="0"/>
              </w:rPr>
            </w:pPr>
          </w:p>
        </w:tc>
        <w:tc>
          <w:tcPr>
            <w:tcW w:w="2475" w:type="dxa"/>
            <w:tcBorders>
              <w:top w:val="nil"/>
              <w:left w:val="nil"/>
              <w:bottom w:val="single" w:sz="8" w:space="0" w:color="auto"/>
              <w:right w:val="single" w:sz="8" w:space="0" w:color="auto"/>
            </w:tcBorders>
            <w:tcMar>
              <w:top w:w="57" w:type="dxa"/>
              <w:left w:w="108" w:type="dxa"/>
              <w:bottom w:w="57" w:type="dxa"/>
              <w:right w:w="108" w:type="dxa"/>
            </w:tcMar>
          </w:tcPr>
          <w:p w:rsidR="005274C9" w:rsidRPr="000626AF" w:rsidRDefault="005274C9" w:rsidP="00617A13">
            <w:pPr>
              <w:widowControl/>
              <w:spacing w:before="100" w:beforeAutospacing="1" w:after="100" w:afterAutospacing="1" w:line="300" w:lineRule="atLeast"/>
              <w:rPr>
                <w:rFonts w:ascii="新細明體" w:hAnsi="新細明體" w:cs="新細明體"/>
                <w:kern w:val="0"/>
              </w:rPr>
            </w:pPr>
            <w:r w:rsidRPr="000626AF">
              <w:rPr>
                <w:rFonts w:ascii="標楷體" w:eastAsia="標楷體" w:hAnsi="標楷體" w:cs="新細明體" w:hint="eastAsia"/>
                <w:kern w:val="0"/>
              </w:rPr>
              <w:t>皮鞋皮件業</w:t>
            </w:r>
          </w:p>
        </w:tc>
        <w:tc>
          <w:tcPr>
            <w:tcW w:w="6007" w:type="dxa"/>
            <w:tcBorders>
              <w:top w:val="nil"/>
              <w:left w:val="nil"/>
              <w:bottom w:val="single" w:sz="8" w:space="0" w:color="auto"/>
              <w:right w:val="single" w:sz="12" w:space="0" w:color="auto"/>
            </w:tcBorders>
            <w:tcMar>
              <w:top w:w="57" w:type="dxa"/>
              <w:left w:w="108" w:type="dxa"/>
              <w:bottom w:w="57" w:type="dxa"/>
              <w:right w:w="108" w:type="dxa"/>
            </w:tcMar>
          </w:tcPr>
          <w:p w:rsidR="005274C9" w:rsidRPr="000626AF" w:rsidRDefault="005274C9" w:rsidP="00617A13">
            <w:pPr>
              <w:widowControl/>
              <w:spacing w:before="100" w:beforeAutospacing="1" w:after="100" w:afterAutospacing="1" w:line="300" w:lineRule="atLeast"/>
              <w:rPr>
                <w:rFonts w:ascii="新細明體" w:hAnsi="新細明體" w:cs="新細明體"/>
                <w:kern w:val="0"/>
              </w:rPr>
            </w:pPr>
            <w:r w:rsidRPr="000626AF">
              <w:rPr>
                <w:rFonts w:ascii="標楷體" w:eastAsia="標楷體" w:hAnsi="標楷體" w:cs="新細明體" w:hint="eastAsia"/>
                <w:kern w:val="0"/>
              </w:rPr>
              <w:t>皮鞋皮件業、服飾配件零售業</w:t>
            </w:r>
          </w:p>
        </w:tc>
      </w:tr>
      <w:tr w:rsidR="005274C9" w:rsidRPr="000626AF" w:rsidTr="005274C9">
        <w:trPr>
          <w:cantSplit/>
          <w:trHeight w:val="403"/>
          <w:jc w:val="center"/>
        </w:trPr>
        <w:tc>
          <w:tcPr>
            <w:tcW w:w="582" w:type="dxa"/>
            <w:vMerge/>
            <w:tcBorders>
              <w:top w:val="nil"/>
              <w:left w:val="single" w:sz="12" w:space="0" w:color="auto"/>
              <w:bottom w:val="single" w:sz="12" w:space="0" w:color="auto"/>
              <w:right w:val="single" w:sz="8" w:space="0" w:color="auto"/>
            </w:tcBorders>
            <w:vAlign w:val="center"/>
          </w:tcPr>
          <w:p w:rsidR="005274C9" w:rsidRPr="000626AF" w:rsidRDefault="005274C9" w:rsidP="00193F99">
            <w:pPr>
              <w:widowControl/>
              <w:rPr>
                <w:rFonts w:ascii="新細明體" w:hAnsi="新細明體" w:cs="新細明體"/>
                <w:kern w:val="0"/>
              </w:rPr>
            </w:pPr>
          </w:p>
        </w:tc>
        <w:tc>
          <w:tcPr>
            <w:tcW w:w="2475" w:type="dxa"/>
            <w:tcBorders>
              <w:top w:val="nil"/>
              <w:left w:val="nil"/>
              <w:bottom w:val="single" w:sz="8" w:space="0" w:color="auto"/>
              <w:right w:val="single" w:sz="8" w:space="0" w:color="auto"/>
            </w:tcBorders>
            <w:tcMar>
              <w:top w:w="57" w:type="dxa"/>
              <w:left w:w="108" w:type="dxa"/>
              <w:bottom w:w="57" w:type="dxa"/>
              <w:right w:w="108" w:type="dxa"/>
            </w:tcMar>
          </w:tcPr>
          <w:p w:rsidR="005274C9" w:rsidRPr="000626AF" w:rsidRDefault="005274C9" w:rsidP="00617A13">
            <w:pPr>
              <w:widowControl/>
              <w:spacing w:before="100" w:beforeAutospacing="1" w:after="100" w:afterAutospacing="1" w:line="300" w:lineRule="atLeast"/>
              <w:rPr>
                <w:rFonts w:ascii="新細明體" w:hAnsi="新細明體" w:cs="新細明體"/>
                <w:kern w:val="0"/>
              </w:rPr>
            </w:pPr>
            <w:r w:rsidRPr="000626AF">
              <w:rPr>
                <w:rFonts w:ascii="標楷體" w:eastAsia="標楷體" w:hAnsi="標楷體" w:cs="新細明體" w:hint="eastAsia"/>
                <w:kern w:val="0"/>
              </w:rPr>
              <w:t>美容護膚業</w:t>
            </w:r>
          </w:p>
        </w:tc>
        <w:tc>
          <w:tcPr>
            <w:tcW w:w="6007" w:type="dxa"/>
            <w:tcBorders>
              <w:top w:val="nil"/>
              <w:left w:val="nil"/>
              <w:bottom w:val="single" w:sz="8" w:space="0" w:color="auto"/>
              <w:right w:val="single" w:sz="12" w:space="0" w:color="auto"/>
            </w:tcBorders>
            <w:tcMar>
              <w:top w:w="57" w:type="dxa"/>
              <w:left w:w="108" w:type="dxa"/>
              <w:bottom w:w="57" w:type="dxa"/>
              <w:right w:w="108" w:type="dxa"/>
            </w:tcMar>
          </w:tcPr>
          <w:p w:rsidR="005274C9" w:rsidRPr="000626AF" w:rsidRDefault="005274C9" w:rsidP="00617A13">
            <w:pPr>
              <w:widowControl/>
              <w:spacing w:before="100" w:beforeAutospacing="1" w:after="100" w:afterAutospacing="1" w:line="300" w:lineRule="atLeast"/>
              <w:rPr>
                <w:rFonts w:ascii="新細明體" w:hAnsi="新細明體" w:cs="新細明體"/>
                <w:kern w:val="0"/>
              </w:rPr>
            </w:pPr>
            <w:r w:rsidRPr="000626AF">
              <w:rPr>
                <w:rFonts w:ascii="標楷體" w:eastAsia="標楷體" w:hAnsi="標楷體" w:cs="新細明體" w:hint="eastAsia"/>
                <w:kern w:val="0"/>
              </w:rPr>
              <w:t>美容護膚業、化妝品零售業</w:t>
            </w:r>
          </w:p>
        </w:tc>
      </w:tr>
      <w:tr w:rsidR="005274C9" w:rsidRPr="000626AF" w:rsidTr="005274C9">
        <w:trPr>
          <w:cantSplit/>
          <w:trHeight w:val="980"/>
          <w:jc w:val="center"/>
        </w:trPr>
        <w:tc>
          <w:tcPr>
            <w:tcW w:w="582" w:type="dxa"/>
            <w:vMerge/>
            <w:tcBorders>
              <w:top w:val="nil"/>
              <w:left w:val="single" w:sz="12" w:space="0" w:color="auto"/>
              <w:bottom w:val="single" w:sz="12" w:space="0" w:color="auto"/>
              <w:right w:val="single" w:sz="8" w:space="0" w:color="auto"/>
            </w:tcBorders>
            <w:vAlign w:val="center"/>
          </w:tcPr>
          <w:p w:rsidR="005274C9" w:rsidRPr="000626AF" w:rsidRDefault="005274C9" w:rsidP="00193F99">
            <w:pPr>
              <w:widowControl/>
              <w:rPr>
                <w:rFonts w:ascii="新細明體" w:hAnsi="新細明體" w:cs="新細明體"/>
                <w:kern w:val="0"/>
              </w:rPr>
            </w:pPr>
          </w:p>
        </w:tc>
        <w:tc>
          <w:tcPr>
            <w:tcW w:w="2475" w:type="dxa"/>
            <w:tcBorders>
              <w:top w:val="nil"/>
              <w:left w:val="nil"/>
              <w:bottom w:val="single" w:sz="12" w:space="0" w:color="auto"/>
              <w:right w:val="single" w:sz="8" w:space="0" w:color="auto"/>
            </w:tcBorders>
            <w:tcMar>
              <w:top w:w="57" w:type="dxa"/>
              <w:left w:w="108" w:type="dxa"/>
              <w:bottom w:w="57" w:type="dxa"/>
              <w:right w:w="108" w:type="dxa"/>
            </w:tcMar>
          </w:tcPr>
          <w:p w:rsidR="005274C9" w:rsidRPr="000626AF" w:rsidRDefault="005274C9" w:rsidP="00617A13">
            <w:pPr>
              <w:widowControl/>
              <w:spacing w:before="100" w:beforeAutospacing="1" w:after="100" w:afterAutospacing="1" w:line="300" w:lineRule="atLeast"/>
              <w:rPr>
                <w:rFonts w:ascii="新細明體" w:hAnsi="新細明體" w:cs="新細明體"/>
                <w:kern w:val="0"/>
              </w:rPr>
            </w:pPr>
            <w:r w:rsidRPr="000626AF">
              <w:rPr>
                <w:rFonts w:ascii="標楷體" w:eastAsia="標楷體" w:hAnsi="標楷體" w:cs="新細明體" w:hint="eastAsia"/>
                <w:kern w:val="0"/>
              </w:rPr>
              <w:t>商圈其他業別</w:t>
            </w:r>
          </w:p>
        </w:tc>
        <w:tc>
          <w:tcPr>
            <w:tcW w:w="6007" w:type="dxa"/>
            <w:tcBorders>
              <w:top w:val="nil"/>
              <w:left w:val="nil"/>
              <w:bottom w:val="single" w:sz="12" w:space="0" w:color="auto"/>
              <w:right w:val="single" w:sz="12" w:space="0" w:color="auto"/>
            </w:tcBorders>
            <w:tcMar>
              <w:top w:w="57" w:type="dxa"/>
              <w:left w:w="108" w:type="dxa"/>
              <w:bottom w:w="57" w:type="dxa"/>
              <w:right w:w="108" w:type="dxa"/>
            </w:tcMar>
          </w:tcPr>
          <w:p w:rsidR="005274C9" w:rsidRPr="000626AF" w:rsidRDefault="005274C9" w:rsidP="00617A13">
            <w:pPr>
              <w:widowControl/>
              <w:spacing w:before="100" w:beforeAutospacing="1" w:after="100" w:afterAutospacing="1" w:line="300" w:lineRule="atLeast"/>
              <w:rPr>
                <w:rFonts w:ascii="新細明體" w:hAnsi="新細明體" w:cs="新細明體"/>
                <w:kern w:val="0"/>
              </w:rPr>
            </w:pPr>
            <w:r w:rsidRPr="000626AF">
              <w:rPr>
                <w:rFonts w:ascii="標楷體" w:eastAsia="標楷體" w:hAnsi="標楷體" w:cs="新細明體" w:hint="eastAsia"/>
                <w:color w:val="000000"/>
                <w:kern w:val="0"/>
              </w:rPr>
              <w:t>未分類其他個人服務業、其他休閒服務業、其他無店面零售業、未分類其他零售業、其他綜合商品零售業、交通工具租賃業、食品什貨零售業、其他</w:t>
            </w:r>
          </w:p>
        </w:tc>
      </w:tr>
    </w:tbl>
    <w:p w:rsidR="00193F99" w:rsidRPr="000626AF" w:rsidRDefault="00193F99" w:rsidP="00C6605F">
      <w:pPr>
        <w:rPr>
          <w:rFonts w:ascii="標楷體" w:eastAsia="標楷體" w:hAnsi="標楷體" w:cs="新細明體"/>
          <w:kern w:val="0"/>
        </w:rPr>
      </w:pPr>
    </w:p>
    <w:p w:rsidR="00C6605F" w:rsidRPr="000626AF" w:rsidRDefault="00C6605F" w:rsidP="00C6605F">
      <w:pPr>
        <w:rPr>
          <w:rFonts w:ascii="標楷體" w:eastAsia="標楷體" w:hAnsi="標楷體" w:cs="新細明體"/>
          <w:kern w:val="0"/>
        </w:rPr>
      </w:pPr>
      <w:r w:rsidRPr="000626AF">
        <w:rPr>
          <w:rFonts w:ascii="標楷體" w:eastAsia="標楷體" w:hAnsi="標楷體" w:cs="新細明體" w:hint="eastAsia"/>
          <w:kern w:val="0"/>
        </w:rPr>
        <w:t>附註：</w:t>
      </w:r>
    </w:p>
    <w:p w:rsidR="00193F99" w:rsidRPr="000626AF" w:rsidRDefault="00AF1FE8" w:rsidP="00AF1FE8">
      <w:pPr>
        <w:numPr>
          <w:ilvl w:val="1"/>
          <w:numId w:val="5"/>
        </w:numPr>
        <w:rPr>
          <w:rFonts w:ascii="標楷體" w:eastAsia="標楷體" w:hAnsi="標楷體" w:cs="新細明體"/>
          <w:kern w:val="0"/>
        </w:rPr>
      </w:pPr>
      <w:r w:rsidRPr="00AF1FE8">
        <w:rPr>
          <w:rFonts w:ascii="標楷體" w:eastAsia="標楷體" w:hAnsi="標楷體" w:cs="新細明體" w:hint="eastAsia"/>
          <w:kern w:val="0"/>
        </w:rPr>
        <w:t>各行業別之刷卡消費均核實補助。</w:t>
      </w:r>
    </w:p>
    <w:p w:rsidR="00193F99" w:rsidRPr="000626AF" w:rsidRDefault="00193F99" w:rsidP="00193F99">
      <w:pPr>
        <w:numPr>
          <w:ilvl w:val="1"/>
          <w:numId w:val="5"/>
        </w:numPr>
        <w:rPr>
          <w:rFonts w:ascii="標楷體" w:eastAsia="標楷體" w:hAnsi="標楷體" w:cs="新細明體"/>
          <w:kern w:val="0"/>
        </w:rPr>
      </w:pPr>
      <w:r w:rsidRPr="000626AF">
        <w:rPr>
          <w:rFonts w:ascii="標楷體" w:eastAsia="標楷體" w:hAnsi="標楷體" w:cs="新細明體" w:hint="eastAsia"/>
          <w:kern w:val="0"/>
        </w:rPr>
        <w:t>表列「商圈業別」係指在國家公園、風景特定區、觀光地區、經濟部輔導之形象商圈、商店街與地方政府輔導之商圈及觀光夜市範圍內之行業。但不包括珠寶銀樓、電器、資訊、視聽服務業、通訊器材業、鐘錶、眼鏡行、一般家具、百貨公司、量販店、超級市場、醫院（診所）、藥局等行業。</w:t>
      </w:r>
    </w:p>
    <w:sectPr w:rsidR="00193F99" w:rsidRPr="000626AF" w:rsidSect="00771F33">
      <w:pgSz w:w="11906" w:h="16838"/>
      <w:pgMar w:top="1247" w:right="1531" w:bottom="1247" w:left="153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419B" w:rsidRDefault="007A419B" w:rsidP="00DA03B5">
      <w:r>
        <w:separator/>
      </w:r>
    </w:p>
  </w:endnote>
  <w:endnote w:type="continuationSeparator" w:id="0">
    <w:p w:rsidR="007A419B" w:rsidRDefault="007A419B" w:rsidP="00DA03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全真中明體">
    <w:altName w:val="Arial Unicode MS"/>
    <w:charset w:val="88"/>
    <w:family w:val="modern"/>
    <w:pitch w:val="fixed"/>
    <w:sig w:usb0="00000000" w:usb1="08080000" w:usb2="00000010" w:usb3="00000000" w:csb0="00100000" w:csb1="00000000"/>
  </w:font>
  <w:font w:name="全真粗黑體">
    <w:altName w:val="Arial Unicode MS"/>
    <w:charset w:val="88"/>
    <w:family w:val="modern"/>
    <w:pitch w:val="fixed"/>
    <w:sig w:usb0="00000000"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419B" w:rsidRDefault="007A419B" w:rsidP="00DA03B5">
      <w:r>
        <w:separator/>
      </w:r>
    </w:p>
  </w:footnote>
  <w:footnote w:type="continuationSeparator" w:id="0">
    <w:p w:rsidR="007A419B" w:rsidRDefault="007A419B" w:rsidP="00DA03B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A0402C"/>
    <w:multiLevelType w:val="hybridMultilevel"/>
    <w:tmpl w:val="5BEAA042"/>
    <w:lvl w:ilvl="0" w:tplc="5CD845C0">
      <w:start w:val="1"/>
      <w:numFmt w:val="taiwaneseCountingThousand"/>
      <w:suff w:val="nothing"/>
      <w:lvlText w:val="（%1）"/>
      <w:lvlJc w:val="left"/>
      <w:pPr>
        <w:ind w:left="862" w:hanging="720"/>
      </w:pPr>
      <w:rPr>
        <w:rFonts w:hint="default"/>
      </w:rPr>
    </w:lvl>
    <w:lvl w:ilvl="1" w:tplc="0409000F">
      <w:start w:val="1"/>
      <w:numFmt w:val="decimal"/>
      <w:lvlText w:val="%2."/>
      <w:lvlJc w:val="left"/>
      <w:pPr>
        <w:tabs>
          <w:tab w:val="num" w:pos="1102"/>
        </w:tabs>
        <w:ind w:left="1102" w:hanging="480"/>
      </w:pPr>
    </w:lvl>
    <w:lvl w:ilvl="2" w:tplc="A3E0588C">
      <w:start w:val="1"/>
      <w:numFmt w:val="decimalFullWidth"/>
      <w:suff w:val="nothing"/>
      <w:lvlText w:val="（%3）"/>
      <w:lvlJc w:val="left"/>
      <w:pPr>
        <w:ind w:left="1582" w:hanging="480"/>
      </w:pPr>
      <w:rPr>
        <w:rFonts w:hint="eastAsia"/>
        <w:sz w:val="28"/>
        <w:lang w:val="en-US"/>
      </w:rPr>
    </w:lvl>
    <w:lvl w:ilvl="3" w:tplc="0409000F" w:tentative="1">
      <w:start w:val="1"/>
      <w:numFmt w:val="decimal"/>
      <w:lvlText w:val="%4."/>
      <w:lvlJc w:val="left"/>
      <w:pPr>
        <w:tabs>
          <w:tab w:val="num" w:pos="2062"/>
        </w:tabs>
        <w:ind w:left="2062" w:hanging="480"/>
      </w:pPr>
    </w:lvl>
    <w:lvl w:ilvl="4" w:tplc="04090019" w:tentative="1">
      <w:start w:val="1"/>
      <w:numFmt w:val="ideographTraditional"/>
      <w:lvlText w:val="%5、"/>
      <w:lvlJc w:val="left"/>
      <w:pPr>
        <w:tabs>
          <w:tab w:val="num" w:pos="2542"/>
        </w:tabs>
        <w:ind w:left="2542" w:hanging="480"/>
      </w:pPr>
    </w:lvl>
    <w:lvl w:ilvl="5" w:tplc="0409001B" w:tentative="1">
      <w:start w:val="1"/>
      <w:numFmt w:val="lowerRoman"/>
      <w:lvlText w:val="%6."/>
      <w:lvlJc w:val="right"/>
      <w:pPr>
        <w:tabs>
          <w:tab w:val="num" w:pos="3022"/>
        </w:tabs>
        <w:ind w:left="3022" w:hanging="480"/>
      </w:pPr>
    </w:lvl>
    <w:lvl w:ilvl="6" w:tplc="0409000F" w:tentative="1">
      <w:start w:val="1"/>
      <w:numFmt w:val="decimal"/>
      <w:lvlText w:val="%7."/>
      <w:lvlJc w:val="left"/>
      <w:pPr>
        <w:tabs>
          <w:tab w:val="num" w:pos="3502"/>
        </w:tabs>
        <w:ind w:left="3502" w:hanging="480"/>
      </w:pPr>
    </w:lvl>
    <w:lvl w:ilvl="7" w:tplc="04090019" w:tentative="1">
      <w:start w:val="1"/>
      <w:numFmt w:val="ideographTraditional"/>
      <w:lvlText w:val="%8、"/>
      <w:lvlJc w:val="left"/>
      <w:pPr>
        <w:tabs>
          <w:tab w:val="num" w:pos="3982"/>
        </w:tabs>
        <w:ind w:left="3982" w:hanging="480"/>
      </w:pPr>
    </w:lvl>
    <w:lvl w:ilvl="8" w:tplc="0409001B" w:tentative="1">
      <w:start w:val="1"/>
      <w:numFmt w:val="lowerRoman"/>
      <w:lvlText w:val="%9."/>
      <w:lvlJc w:val="right"/>
      <w:pPr>
        <w:tabs>
          <w:tab w:val="num" w:pos="4462"/>
        </w:tabs>
        <w:ind w:left="4462" w:hanging="480"/>
      </w:pPr>
    </w:lvl>
  </w:abstractNum>
  <w:abstractNum w:abstractNumId="1" w15:restartNumberingAfterBreak="0">
    <w:nsid w:val="17721EB9"/>
    <w:multiLevelType w:val="hybridMultilevel"/>
    <w:tmpl w:val="AAC85B54"/>
    <w:lvl w:ilvl="0" w:tplc="80F479D0">
      <w:start w:val="1"/>
      <w:numFmt w:val="decimal"/>
      <w:lvlText w:val="（%1）"/>
      <w:lvlJc w:val="left"/>
      <w:pPr>
        <w:tabs>
          <w:tab w:val="num" w:pos="1620"/>
        </w:tabs>
        <w:ind w:left="1620" w:hanging="720"/>
      </w:pPr>
      <w:rPr>
        <w:rFonts w:hint="default"/>
      </w:rPr>
    </w:lvl>
    <w:lvl w:ilvl="1" w:tplc="04090019" w:tentative="1">
      <w:start w:val="1"/>
      <w:numFmt w:val="ideographTraditional"/>
      <w:lvlText w:val="%2、"/>
      <w:lvlJc w:val="left"/>
      <w:pPr>
        <w:tabs>
          <w:tab w:val="num" w:pos="1860"/>
        </w:tabs>
        <w:ind w:left="1860" w:hanging="480"/>
      </w:pPr>
    </w:lvl>
    <w:lvl w:ilvl="2" w:tplc="0409001B" w:tentative="1">
      <w:start w:val="1"/>
      <w:numFmt w:val="lowerRoman"/>
      <w:lvlText w:val="%3."/>
      <w:lvlJc w:val="right"/>
      <w:pPr>
        <w:tabs>
          <w:tab w:val="num" w:pos="2340"/>
        </w:tabs>
        <w:ind w:left="2340" w:hanging="480"/>
      </w:pPr>
    </w:lvl>
    <w:lvl w:ilvl="3" w:tplc="0409000F" w:tentative="1">
      <w:start w:val="1"/>
      <w:numFmt w:val="decimal"/>
      <w:lvlText w:val="%4."/>
      <w:lvlJc w:val="left"/>
      <w:pPr>
        <w:tabs>
          <w:tab w:val="num" w:pos="2820"/>
        </w:tabs>
        <w:ind w:left="2820" w:hanging="480"/>
      </w:pPr>
    </w:lvl>
    <w:lvl w:ilvl="4" w:tplc="04090019" w:tentative="1">
      <w:start w:val="1"/>
      <w:numFmt w:val="ideographTraditional"/>
      <w:lvlText w:val="%5、"/>
      <w:lvlJc w:val="left"/>
      <w:pPr>
        <w:tabs>
          <w:tab w:val="num" w:pos="3300"/>
        </w:tabs>
        <w:ind w:left="3300" w:hanging="480"/>
      </w:pPr>
    </w:lvl>
    <w:lvl w:ilvl="5" w:tplc="0409001B" w:tentative="1">
      <w:start w:val="1"/>
      <w:numFmt w:val="lowerRoman"/>
      <w:lvlText w:val="%6."/>
      <w:lvlJc w:val="right"/>
      <w:pPr>
        <w:tabs>
          <w:tab w:val="num" w:pos="3780"/>
        </w:tabs>
        <w:ind w:left="3780" w:hanging="480"/>
      </w:pPr>
    </w:lvl>
    <w:lvl w:ilvl="6" w:tplc="0409000F" w:tentative="1">
      <w:start w:val="1"/>
      <w:numFmt w:val="decimal"/>
      <w:lvlText w:val="%7."/>
      <w:lvlJc w:val="left"/>
      <w:pPr>
        <w:tabs>
          <w:tab w:val="num" w:pos="4260"/>
        </w:tabs>
        <w:ind w:left="4260" w:hanging="480"/>
      </w:pPr>
    </w:lvl>
    <w:lvl w:ilvl="7" w:tplc="04090019" w:tentative="1">
      <w:start w:val="1"/>
      <w:numFmt w:val="ideographTraditional"/>
      <w:lvlText w:val="%8、"/>
      <w:lvlJc w:val="left"/>
      <w:pPr>
        <w:tabs>
          <w:tab w:val="num" w:pos="4740"/>
        </w:tabs>
        <w:ind w:left="4740" w:hanging="480"/>
      </w:pPr>
    </w:lvl>
    <w:lvl w:ilvl="8" w:tplc="0409001B" w:tentative="1">
      <w:start w:val="1"/>
      <w:numFmt w:val="lowerRoman"/>
      <w:lvlText w:val="%9."/>
      <w:lvlJc w:val="right"/>
      <w:pPr>
        <w:tabs>
          <w:tab w:val="num" w:pos="5220"/>
        </w:tabs>
        <w:ind w:left="5220" w:hanging="480"/>
      </w:pPr>
    </w:lvl>
  </w:abstractNum>
  <w:abstractNum w:abstractNumId="2" w15:restartNumberingAfterBreak="0">
    <w:nsid w:val="38AE38F3"/>
    <w:multiLevelType w:val="hybridMultilevel"/>
    <w:tmpl w:val="2DEE8548"/>
    <w:lvl w:ilvl="0" w:tplc="B9126EA4">
      <w:start w:val="1"/>
      <w:numFmt w:val="taiwaneseCountingThousand"/>
      <w:lvlText w:val="%1、"/>
      <w:lvlJc w:val="left"/>
      <w:pPr>
        <w:tabs>
          <w:tab w:val="num" w:pos="1020"/>
        </w:tabs>
        <w:ind w:left="1020" w:hanging="480"/>
      </w:pPr>
      <w:rPr>
        <w:rFonts w:hint="default"/>
        <w:lang w:val="en-US"/>
      </w:rPr>
    </w:lvl>
    <w:lvl w:ilvl="1" w:tplc="04090019" w:tentative="1">
      <w:start w:val="1"/>
      <w:numFmt w:val="ideographTraditional"/>
      <w:lvlText w:val="%2、"/>
      <w:lvlJc w:val="left"/>
      <w:pPr>
        <w:tabs>
          <w:tab w:val="num" w:pos="1500"/>
        </w:tabs>
        <w:ind w:left="1500" w:hanging="480"/>
      </w:pPr>
    </w:lvl>
    <w:lvl w:ilvl="2" w:tplc="0409001B" w:tentative="1">
      <w:start w:val="1"/>
      <w:numFmt w:val="lowerRoman"/>
      <w:lvlText w:val="%3."/>
      <w:lvlJc w:val="right"/>
      <w:pPr>
        <w:tabs>
          <w:tab w:val="num" w:pos="1980"/>
        </w:tabs>
        <w:ind w:left="1980" w:hanging="480"/>
      </w:pPr>
    </w:lvl>
    <w:lvl w:ilvl="3" w:tplc="0409000F" w:tentative="1">
      <w:start w:val="1"/>
      <w:numFmt w:val="decimal"/>
      <w:lvlText w:val="%4."/>
      <w:lvlJc w:val="left"/>
      <w:pPr>
        <w:tabs>
          <w:tab w:val="num" w:pos="2460"/>
        </w:tabs>
        <w:ind w:left="2460" w:hanging="480"/>
      </w:pPr>
    </w:lvl>
    <w:lvl w:ilvl="4" w:tplc="04090019" w:tentative="1">
      <w:start w:val="1"/>
      <w:numFmt w:val="ideographTraditional"/>
      <w:lvlText w:val="%5、"/>
      <w:lvlJc w:val="left"/>
      <w:pPr>
        <w:tabs>
          <w:tab w:val="num" w:pos="2940"/>
        </w:tabs>
        <w:ind w:left="2940" w:hanging="480"/>
      </w:pPr>
    </w:lvl>
    <w:lvl w:ilvl="5" w:tplc="0409001B" w:tentative="1">
      <w:start w:val="1"/>
      <w:numFmt w:val="lowerRoman"/>
      <w:lvlText w:val="%6."/>
      <w:lvlJc w:val="right"/>
      <w:pPr>
        <w:tabs>
          <w:tab w:val="num" w:pos="3420"/>
        </w:tabs>
        <w:ind w:left="3420" w:hanging="480"/>
      </w:pPr>
    </w:lvl>
    <w:lvl w:ilvl="6" w:tplc="0409000F" w:tentative="1">
      <w:start w:val="1"/>
      <w:numFmt w:val="decimal"/>
      <w:lvlText w:val="%7."/>
      <w:lvlJc w:val="left"/>
      <w:pPr>
        <w:tabs>
          <w:tab w:val="num" w:pos="3900"/>
        </w:tabs>
        <w:ind w:left="3900" w:hanging="480"/>
      </w:pPr>
    </w:lvl>
    <w:lvl w:ilvl="7" w:tplc="04090019" w:tentative="1">
      <w:start w:val="1"/>
      <w:numFmt w:val="ideographTraditional"/>
      <w:lvlText w:val="%8、"/>
      <w:lvlJc w:val="left"/>
      <w:pPr>
        <w:tabs>
          <w:tab w:val="num" w:pos="4380"/>
        </w:tabs>
        <w:ind w:left="4380" w:hanging="480"/>
      </w:pPr>
    </w:lvl>
    <w:lvl w:ilvl="8" w:tplc="0409001B" w:tentative="1">
      <w:start w:val="1"/>
      <w:numFmt w:val="lowerRoman"/>
      <w:lvlText w:val="%9."/>
      <w:lvlJc w:val="right"/>
      <w:pPr>
        <w:tabs>
          <w:tab w:val="num" w:pos="4860"/>
        </w:tabs>
        <w:ind w:left="4860" w:hanging="480"/>
      </w:pPr>
    </w:lvl>
  </w:abstractNum>
  <w:abstractNum w:abstractNumId="3" w15:restartNumberingAfterBreak="0">
    <w:nsid w:val="4ECF1D1E"/>
    <w:multiLevelType w:val="hybridMultilevel"/>
    <w:tmpl w:val="4BF2E4D8"/>
    <w:lvl w:ilvl="0" w:tplc="174C0284">
      <w:start w:val="1"/>
      <w:numFmt w:val="taiwaneseCountingThousand"/>
      <w:lvlText w:val="（%1）"/>
      <w:lvlJc w:val="left"/>
      <w:pPr>
        <w:tabs>
          <w:tab w:val="num" w:pos="900"/>
        </w:tabs>
        <w:ind w:left="900" w:hanging="720"/>
      </w:pPr>
      <w:rPr>
        <w:rFonts w:hint="default"/>
      </w:rPr>
    </w:lvl>
    <w:lvl w:ilvl="1" w:tplc="C3369706">
      <w:start w:val="1"/>
      <w:numFmt w:val="decimal"/>
      <w:lvlText w:val="%2."/>
      <w:lvlJc w:val="left"/>
      <w:pPr>
        <w:tabs>
          <w:tab w:val="num" w:pos="1020"/>
        </w:tabs>
        <w:ind w:left="1020" w:hanging="360"/>
      </w:pPr>
      <w:rPr>
        <w:rFonts w:hint="default"/>
      </w:rPr>
    </w:lvl>
    <w:lvl w:ilvl="2" w:tplc="0409001B" w:tentative="1">
      <w:start w:val="1"/>
      <w:numFmt w:val="lowerRoman"/>
      <w:lvlText w:val="%3."/>
      <w:lvlJc w:val="right"/>
      <w:pPr>
        <w:tabs>
          <w:tab w:val="num" w:pos="1620"/>
        </w:tabs>
        <w:ind w:left="1620" w:hanging="480"/>
      </w:pPr>
    </w:lvl>
    <w:lvl w:ilvl="3" w:tplc="0409000F" w:tentative="1">
      <w:start w:val="1"/>
      <w:numFmt w:val="decimal"/>
      <w:lvlText w:val="%4."/>
      <w:lvlJc w:val="left"/>
      <w:pPr>
        <w:tabs>
          <w:tab w:val="num" w:pos="2100"/>
        </w:tabs>
        <w:ind w:left="2100" w:hanging="480"/>
      </w:pPr>
    </w:lvl>
    <w:lvl w:ilvl="4" w:tplc="04090019" w:tentative="1">
      <w:start w:val="1"/>
      <w:numFmt w:val="ideographTraditional"/>
      <w:lvlText w:val="%5、"/>
      <w:lvlJc w:val="left"/>
      <w:pPr>
        <w:tabs>
          <w:tab w:val="num" w:pos="2580"/>
        </w:tabs>
        <w:ind w:left="2580" w:hanging="480"/>
      </w:pPr>
    </w:lvl>
    <w:lvl w:ilvl="5" w:tplc="0409001B" w:tentative="1">
      <w:start w:val="1"/>
      <w:numFmt w:val="lowerRoman"/>
      <w:lvlText w:val="%6."/>
      <w:lvlJc w:val="right"/>
      <w:pPr>
        <w:tabs>
          <w:tab w:val="num" w:pos="3060"/>
        </w:tabs>
        <w:ind w:left="3060" w:hanging="480"/>
      </w:pPr>
    </w:lvl>
    <w:lvl w:ilvl="6" w:tplc="0409000F" w:tentative="1">
      <w:start w:val="1"/>
      <w:numFmt w:val="decimal"/>
      <w:lvlText w:val="%7."/>
      <w:lvlJc w:val="left"/>
      <w:pPr>
        <w:tabs>
          <w:tab w:val="num" w:pos="3540"/>
        </w:tabs>
        <w:ind w:left="3540" w:hanging="480"/>
      </w:pPr>
    </w:lvl>
    <w:lvl w:ilvl="7" w:tplc="04090019" w:tentative="1">
      <w:start w:val="1"/>
      <w:numFmt w:val="ideographTraditional"/>
      <w:lvlText w:val="%8、"/>
      <w:lvlJc w:val="left"/>
      <w:pPr>
        <w:tabs>
          <w:tab w:val="num" w:pos="4020"/>
        </w:tabs>
        <w:ind w:left="4020" w:hanging="480"/>
      </w:pPr>
    </w:lvl>
    <w:lvl w:ilvl="8" w:tplc="0409001B" w:tentative="1">
      <w:start w:val="1"/>
      <w:numFmt w:val="lowerRoman"/>
      <w:lvlText w:val="%9."/>
      <w:lvlJc w:val="right"/>
      <w:pPr>
        <w:tabs>
          <w:tab w:val="num" w:pos="4500"/>
        </w:tabs>
        <w:ind w:left="4500" w:hanging="480"/>
      </w:pPr>
    </w:lvl>
  </w:abstractNum>
  <w:abstractNum w:abstractNumId="4" w15:restartNumberingAfterBreak="0">
    <w:nsid w:val="6AB32FF4"/>
    <w:multiLevelType w:val="hybridMultilevel"/>
    <w:tmpl w:val="D1A2C14E"/>
    <w:lvl w:ilvl="0" w:tplc="6CA68FB6">
      <w:start w:val="1"/>
      <w:numFmt w:val="decimal"/>
      <w:lvlText w:val="%1."/>
      <w:lvlJc w:val="left"/>
      <w:pPr>
        <w:tabs>
          <w:tab w:val="num" w:pos="1260"/>
        </w:tabs>
        <w:ind w:left="1260" w:hanging="360"/>
      </w:pPr>
      <w:rPr>
        <w:rFonts w:hint="default"/>
      </w:rPr>
    </w:lvl>
    <w:lvl w:ilvl="1" w:tplc="04090019" w:tentative="1">
      <w:start w:val="1"/>
      <w:numFmt w:val="ideographTraditional"/>
      <w:lvlText w:val="%2、"/>
      <w:lvlJc w:val="left"/>
      <w:pPr>
        <w:tabs>
          <w:tab w:val="num" w:pos="1860"/>
        </w:tabs>
        <w:ind w:left="1860" w:hanging="480"/>
      </w:pPr>
    </w:lvl>
    <w:lvl w:ilvl="2" w:tplc="0409001B" w:tentative="1">
      <w:start w:val="1"/>
      <w:numFmt w:val="lowerRoman"/>
      <w:lvlText w:val="%3."/>
      <w:lvlJc w:val="right"/>
      <w:pPr>
        <w:tabs>
          <w:tab w:val="num" w:pos="2340"/>
        </w:tabs>
        <w:ind w:left="2340" w:hanging="480"/>
      </w:pPr>
    </w:lvl>
    <w:lvl w:ilvl="3" w:tplc="0409000F" w:tentative="1">
      <w:start w:val="1"/>
      <w:numFmt w:val="decimal"/>
      <w:lvlText w:val="%4."/>
      <w:lvlJc w:val="left"/>
      <w:pPr>
        <w:tabs>
          <w:tab w:val="num" w:pos="2820"/>
        </w:tabs>
        <w:ind w:left="2820" w:hanging="480"/>
      </w:pPr>
    </w:lvl>
    <w:lvl w:ilvl="4" w:tplc="04090019" w:tentative="1">
      <w:start w:val="1"/>
      <w:numFmt w:val="ideographTraditional"/>
      <w:lvlText w:val="%5、"/>
      <w:lvlJc w:val="left"/>
      <w:pPr>
        <w:tabs>
          <w:tab w:val="num" w:pos="3300"/>
        </w:tabs>
        <w:ind w:left="3300" w:hanging="480"/>
      </w:pPr>
    </w:lvl>
    <w:lvl w:ilvl="5" w:tplc="0409001B" w:tentative="1">
      <w:start w:val="1"/>
      <w:numFmt w:val="lowerRoman"/>
      <w:lvlText w:val="%6."/>
      <w:lvlJc w:val="right"/>
      <w:pPr>
        <w:tabs>
          <w:tab w:val="num" w:pos="3780"/>
        </w:tabs>
        <w:ind w:left="3780" w:hanging="480"/>
      </w:pPr>
    </w:lvl>
    <w:lvl w:ilvl="6" w:tplc="0409000F" w:tentative="1">
      <w:start w:val="1"/>
      <w:numFmt w:val="decimal"/>
      <w:lvlText w:val="%7."/>
      <w:lvlJc w:val="left"/>
      <w:pPr>
        <w:tabs>
          <w:tab w:val="num" w:pos="4260"/>
        </w:tabs>
        <w:ind w:left="4260" w:hanging="480"/>
      </w:pPr>
    </w:lvl>
    <w:lvl w:ilvl="7" w:tplc="04090019" w:tentative="1">
      <w:start w:val="1"/>
      <w:numFmt w:val="ideographTraditional"/>
      <w:lvlText w:val="%8、"/>
      <w:lvlJc w:val="left"/>
      <w:pPr>
        <w:tabs>
          <w:tab w:val="num" w:pos="4740"/>
        </w:tabs>
        <w:ind w:left="4740" w:hanging="480"/>
      </w:pPr>
    </w:lvl>
    <w:lvl w:ilvl="8" w:tplc="0409001B" w:tentative="1">
      <w:start w:val="1"/>
      <w:numFmt w:val="lowerRoman"/>
      <w:lvlText w:val="%9."/>
      <w:lvlJc w:val="right"/>
      <w:pPr>
        <w:tabs>
          <w:tab w:val="num" w:pos="5220"/>
        </w:tabs>
        <w:ind w:left="5220" w:hanging="48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3E3"/>
    <w:rsid w:val="00000D15"/>
    <w:rsid w:val="000626AF"/>
    <w:rsid w:val="000832B8"/>
    <w:rsid w:val="00083442"/>
    <w:rsid w:val="001250DB"/>
    <w:rsid w:val="00150967"/>
    <w:rsid w:val="001615CD"/>
    <w:rsid w:val="00172C6A"/>
    <w:rsid w:val="00193F99"/>
    <w:rsid w:val="002235F2"/>
    <w:rsid w:val="0024638C"/>
    <w:rsid w:val="00291016"/>
    <w:rsid w:val="002A03F8"/>
    <w:rsid w:val="002C006A"/>
    <w:rsid w:val="00337B21"/>
    <w:rsid w:val="003B4F00"/>
    <w:rsid w:val="00421C11"/>
    <w:rsid w:val="0046289A"/>
    <w:rsid w:val="00462999"/>
    <w:rsid w:val="0047275E"/>
    <w:rsid w:val="004F6837"/>
    <w:rsid w:val="005274C9"/>
    <w:rsid w:val="00564BC4"/>
    <w:rsid w:val="00566BFA"/>
    <w:rsid w:val="00586385"/>
    <w:rsid w:val="00594D61"/>
    <w:rsid w:val="005E1B54"/>
    <w:rsid w:val="005E3B40"/>
    <w:rsid w:val="006050F5"/>
    <w:rsid w:val="006B534F"/>
    <w:rsid w:val="006F73BC"/>
    <w:rsid w:val="007674DB"/>
    <w:rsid w:val="00771F33"/>
    <w:rsid w:val="007A419B"/>
    <w:rsid w:val="007B47B6"/>
    <w:rsid w:val="007D03E3"/>
    <w:rsid w:val="007F3FBF"/>
    <w:rsid w:val="008E4875"/>
    <w:rsid w:val="00901C96"/>
    <w:rsid w:val="009120AE"/>
    <w:rsid w:val="00930D5F"/>
    <w:rsid w:val="00951A5C"/>
    <w:rsid w:val="009577AE"/>
    <w:rsid w:val="009763CB"/>
    <w:rsid w:val="00A5530D"/>
    <w:rsid w:val="00A85B2D"/>
    <w:rsid w:val="00AD5A35"/>
    <w:rsid w:val="00AE4D2F"/>
    <w:rsid w:val="00AE5C2B"/>
    <w:rsid w:val="00AF1838"/>
    <w:rsid w:val="00AF1FE8"/>
    <w:rsid w:val="00B44BE8"/>
    <w:rsid w:val="00BE46BA"/>
    <w:rsid w:val="00C46813"/>
    <w:rsid w:val="00C47C3E"/>
    <w:rsid w:val="00C6605F"/>
    <w:rsid w:val="00C82EF0"/>
    <w:rsid w:val="00C96ED4"/>
    <w:rsid w:val="00CC154C"/>
    <w:rsid w:val="00CC419E"/>
    <w:rsid w:val="00D17835"/>
    <w:rsid w:val="00D35CA8"/>
    <w:rsid w:val="00DA03B5"/>
    <w:rsid w:val="00DB6F1D"/>
    <w:rsid w:val="00EA7C1D"/>
    <w:rsid w:val="00EB7F41"/>
    <w:rsid w:val="00F04BCA"/>
    <w:rsid w:val="00F624AF"/>
    <w:rsid w:val="00F72C58"/>
    <w:rsid w:val="00FB10C9"/>
    <w:rsid w:val="00FD49DE"/>
    <w:rsid w:val="00FE5A3A"/>
    <w:rsid w:val="00FF0D6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15F21F8-E508-4C1B-B52A-67A6A286B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rsid w:val="007D03E3"/>
    <w:pPr>
      <w:widowControl/>
      <w:spacing w:before="100" w:beforeAutospacing="1" w:after="100" w:afterAutospacing="1"/>
    </w:pPr>
    <w:rPr>
      <w:rFonts w:ascii="新細明體" w:hAnsi="新細明體" w:cs="新細明體"/>
      <w:kern w:val="0"/>
    </w:rPr>
  </w:style>
  <w:style w:type="paragraph" w:styleId="a3">
    <w:name w:val="header"/>
    <w:basedOn w:val="a"/>
    <w:link w:val="a4"/>
    <w:rsid w:val="00DA03B5"/>
    <w:pPr>
      <w:tabs>
        <w:tab w:val="center" w:pos="4153"/>
        <w:tab w:val="right" w:pos="8306"/>
      </w:tabs>
      <w:snapToGrid w:val="0"/>
    </w:pPr>
    <w:rPr>
      <w:sz w:val="20"/>
      <w:szCs w:val="20"/>
    </w:rPr>
  </w:style>
  <w:style w:type="character" w:customStyle="1" w:styleId="a4">
    <w:name w:val="頁首 字元"/>
    <w:link w:val="a3"/>
    <w:rsid w:val="00DA03B5"/>
    <w:rPr>
      <w:kern w:val="2"/>
    </w:rPr>
  </w:style>
  <w:style w:type="paragraph" w:styleId="a5">
    <w:name w:val="footer"/>
    <w:basedOn w:val="a"/>
    <w:link w:val="a6"/>
    <w:rsid w:val="00DA03B5"/>
    <w:pPr>
      <w:tabs>
        <w:tab w:val="center" w:pos="4153"/>
        <w:tab w:val="right" w:pos="8306"/>
      </w:tabs>
      <w:snapToGrid w:val="0"/>
    </w:pPr>
    <w:rPr>
      <w:sz w:val="20"/>
      <w:szCs w:val="20"/>
    </w:rPr>
  </w:style>
  <w:style w:type="character" w:customStyle="1" w:styleId="a6">
    <w:name w:val="頁尾 字元"/>
    <w:link w:val="a5"/>
    <w:rsid w:val="00DA03B5"/>
    <w:rPr>
      <w:kern w:val="2"/>
    </w:rPr>
  </w:style>
  <w:style w:type="paragraph" w:customStyle="1" w:styleId="a7">
    <w:name w:val="函日期"/>
    <w:rsid w:val="000626AF"/>
    <w:pPr>
      <w:tabs>
        <w:tab w:val="left" w:pos="1440"/>
      </w:tabs>
      <w:spacing w:line="200" w:lineRule="exact"/>
      <w:ind w:left="1560" w:right="227" w:hanging="142"/>
      <w:jc w:val="both"/>
    </w:pPr>
    <w:rPr>
      <w:rFonts w:eastAsia="全真中明體"/>
      <w:sz w:val="14"/>
    </w:rPr>
  </w:style>
  <w:style w:type="paragraph" w:customStyle="1" w:styleId="a8">
    <w:name w:val="法規名"/>
    <w:rsid w:val="000626AF"/>
    <w:pPr>
      <w:spacing w:before="120" w:after="120"/>
      <w:jc w:val="center"/>
    </w:pPr>
    <w:rPr>
      <w:rFonts w:ascii="全真粗黑體" w:eastAsia="全真粗黑體"/>
      <w:sz w:val="32"/>
    </w:rPr>
  </w:style>
  <w:style w:type="paragraph" w:styleId="a9">
    <w:name w:val="Balloon Text"/>
    <w:basedOn w:val="a"/>
    <w:link w:val="aa"/>
    <w:rsid w:val="008E4875"/>
    <w:rPr>
      <w:rFonts w:asciiTheme="majorHAnsi" w:eastAsiaTheme="majorEastAsia" w:hAnsiTheme="majorHAnsi" w:cstheme="majorBidi"/>
      <w:sz w:val="18"/>
      <w:szCs w:val="18"/>
    </w:rPr>
  </w:style>
  <w:style w:type="character" w:customStyle="1" w:styleId="aa">
    <w:name w:val="註解方塊文字 字元"/>
    <w:basedOn w:val="a0"/>
    <w:link w:val="a9"/>
    <w:rsid w:val="008E4875"/>
    <w:rPr>
      <w:rFonts w:asciiTheme="majorHAnsi" w:eastAsiaTheme="majorEastAsia" w:hAnsiTheme="majorHAnsi" w:cstheme="majorBidi"/>
      <w:kern w:val="2"/>
      <w:sz w:val="18"/>
      <w:szCs w:val="18"/>
    </w:rPr>
  </w:style>
  <w:style w:type="paragraph" w:styleId="ab">
    <w:name w:val="List Paragraph"/>
    <w:basedOn w:val="a"/>
    <w:uiPriority w:val="34"/>
    <w:qFormat/>
    <w:rsid w:val="00586385"/>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197149">
      <w:bodyDiv w:val="1"/>
      <w:marLeft w:val="0"/>
      <w:marRight w:val="0"/>
      <w:marTop w:val="0"/>
      <w:marBottom w:val="0"/>
      <w:divBdr>
        <w:top w:val="none" w:sz="0" w:space="0" w:color="auto"/>
        <w:left w:val="none" w:sz="0" w:space="0" w:color="auto"/>
        <w:bottom w:val="none" w:sz="0" w:space="0" w:color="auto"/>
        <w:right w:val="none" w:sz="0" w:space="0" w:color="auto"/>
      </w:divBdr>
    </w:div>
    <w:div w:id="722102054">
      <w:bodyDiv w:val="1"/>
      <w:marLeft w:val="0"/>
      <w:marRight w:val="0"/>
      <w:marTop w:val="0"/>
      <w:marBottom w:val="0"/>
      <w:divBdr>
        <w:top w:val="none" w:sz="0" w:space="0" w:color="auto"/>
        <w:left w:val="none" w:sz="0" w:space="0" w:color="auto"/>
        <w:bottom w:val="none" w:sz="0" w:space="0" w:color="auto"/>
        <w:right w:val="none" w:sz="0" w:space="0" w:color="auto"/>
      </w:divBdr>
    </w:div>
    <w:div w:id="990645826">
      <w:bodyDiv w:val="1"/>
      <w:marLeft w:val="0"/>
      <w:marRight w:val="0"/>
      <w:marTop w:val="0"/>
      <w:marBottom w:val="0"/>
      <w:divBdr>
        <w:top w:val="none" w:sz="0" w:space="0" w:color="auto"/>
        <w:left w:val="none" w:sz="0" w:space="0" w:color="auto"/>
        <w:bottom w:val="none" w:sz="0" w:space="0" w:color="auto"/>
        <w:right w:val="none" w:sz="0" w:space="0" w:color="auto"/>
      </w:divBdr>
    </w:div>
    <w:div w:id="1948809035">
      <w:bodyDiv w:val="1"/>
      <w:marLeft w:val="0"/>
      <w:marRight w:val="0"/>
      <w:marTop w:val="0"/>
      <w:marBottom w:val="0"/>
      <w:divBdr>
        <w:top w:val="none" w:sz="0" w:space="0" w:color="auto"/>
        <w:left w:val="none" w:sz="0" w:space="0" w:color="auto"/>
        <w:bottom w:val="none" w:sz="0" w:space="0" w:color="auto"/>
        <w:right w:val="none" w:sz="0" w:space="0" w:color="auto"/>
      </w:divBdr>
    </w:div>
    <w:div w:id="2066875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250</Words>
  <Characters>1425</Characters>
  <Application>Microsoft Office Word</Application>
  <DocSecurity>0</DocSecurity>
  <Lines>11</Lines>
  <Paragraphs>3</Paragraphs>
  <ScaleCrop>false</ScaleCrop>
  <Company/>
  <LinksUpToDate>false</LinksUpToDate>
  <CharactersWithSpaces>1672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行政院與所屬中央及地方各機關公務人員休假改進措施</dc:title>
  <dc:creator>user</dc:creator>
  <cp:lastModifiedBy>user</cp:lastModifiedBy>
  <cp:revision>2</cp:revision>
  <cp:lastPrinted>2016-12-26T10:56:00Z</cp:lastPrinted>
  <dcterms:created xsi:type="dcterms:W3CDTF">2017-01-06T00:54:00Z</dcterms:created>
  <dcterms:modified xsi:type="dcterms:W3CDTF">2017-01-06T00:54:00Z</dcterms:modified>
</cp:coreProperties>
</file>