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FD" w:rsidRDefault="004B4AFD" w:rsidP="00313C39">
      <w:pPr>
        <w:widowControl/>
        <w:spacing w:afterLines="50" w:after="180" w:line="500" w:lineRule="exact"/>
        <w:jc w:val="center"/>
        <w:rPr>
          <w:rFonts w:ascii="標楷體" w:eastAsia="標楷體" w:hAnsi="標楷體"/>
          <w:b/>
          <w:sz w:val="36"/>
        </w:rPr>
      </w:pPr>
      <w:bookmarkStart w:id="0" w:name="_GoBack"/>
      <w:bookmarkEnd w:id="0"/>
      <w:r>
        <w:rPr>
          <w:rFonts w:ascii="標楷體" w:eastAsia="標楷體" w:hAnsi="標楷體" w:hint="eastAsia"/>
          <w:b/>
          <w:sz w:val="36"/>
        </w:rPr>
        <w:t>「</w:t>
      </w:r>
      <w:r w:rsidR="00F81FD7" w:rsidRPr="00755BD9">
        <w:rPr>
          <w:rFonts w:ascii="標楷體" w:eastAsia="標楷體" w:hAnsi="標楷體" w:hint="eastAsia"/>
          <w:b/>
          <w:sz w:val="36"/>
        </w:rPr>
        <w:t>工程獎金支給表</w:t>
      </w:r>
      <w:r>
        <w:rPr>
          <w:rFonts w:ascii="標楷體" w:eastAsia="標楷體" w:hAnsi="標楷體" w:hint="eastAsia"/>
          <w:b/>
          <w:sz w:val="36"/>
        </w:rPr>
        <w:t>」</w:t>
      </w:r>
      <w:r w:rsidR="00F81FD7" w:rsidRPr="00755BD9">
        <w:rPr>
          <w:rFonts w:ascii="標楷體" w:eastAsia="標楷體" w:hAnsi="標楷體" w:hint="eastAsia"/>
          <w:b/>
          <w:sz w:val="36"/>
        </w:rPr>
        <w:t>補充規定</w:t>
      </w:r>
    </w:p>
    <w:tbl>
      <w:tblPr>
        <w:tblStyle w:val="a3"/>
        <w:tblW w:w="5000" w:type="pct"/>
        <w:tblLook w:val="04A0" w:firstRow="1" w:lastRow="0" w:firstColumn="1" w:lastColumn="0" w:noHBand="0" w:noVBand="1"/>
      </w:tblPr>
      <w:tblGrid>
        <w:gridCol w:w="3509"/>
        <w:gridCol w:w="5013"/>
      </w:tblGrid>
      <w:tr w:rsidR="00F3035F" w:rsidTr="002B09D5">
        <w:trPr>
          <w:tblHeader/>
        </w:trPr>
        <w:tc>
          <w:tcPr>
            <w:tcW w:w="2059" w:type="pct"/>
            <w:tcBorders>
              <w:bottom w:val="single" w:sz="4" w:space="0" w:color="auto"/>
            </w:tcBorders>
          </w:tcPr>
          <w:p w:rsidR="00F3035F" w:rsidRPr="00F964EF" w:rsidRDefault="00F3035F" w:rsidP="00F964EF">
            <w:pPr>
              <w:spacing w:line="440" w:lineRule="exact"/>
              <w:jc w:val="center"/>
              <w:rPr>
                <w:rFonts w:ascii="標楷體" w:eastAsia="標楷體" w:hAnsi="標楷體"/>
                <w:sz w:val="28"/>
              </w:rPr>
            </w:pPr>
            <w:r w:rsidRPr="00F964EF">
              <w:rPr>
                <w:rFonts w:ascii="標楷體" w:eastAsia="標楷體" w:hAnsi="標楷體" w:hint="eastAsia"/>
                <w:sz w:val="28"/>
              </w:rPr>
              <w:t>支給表規定</w:t>
            </w:r>
          </w:p>
        </w:tc>
        <w:tc>
          <w:tcPr>
            <w:tcW w:w="2941" w:type="pct"/>
            <w:tcBorders>
              <w:bottom w:val="single" w:sz="4" w:space="0" w:color="auto"/>
            </w:tcBorders>
          </w:tcPr>
          <w:p w:rsidR="00F3035F" w:rsidRPr="00F964EF" w:rsidRDefault="00F3035F" w:rsidP="00F964EF">
            <w:pPr>
              <w:spacing w:line="440" w:lineRule="exact"/>
              <w:jc w:val="center"/>
              <w:rPr>
                <w:rFonts w:ascii="標楷體" w:eastAsia="標楷體" w:hAnsi="標楷體"/>
                <w:sz w:val="28"/>
              </w:rPr>
            </w:pPr>
            <w:r w:rsidRPr="00F964EF">
              <w:rPr>
                <w:rFonts w:ascii="標楷體" w:eastAsia="標楷體" w:hAnsi="標楷體" w:hint="eastAsia"/>
                <w:sz w:val="28"/>
              </w:rPr>
              <w:t>補充規定</w:t>
            </w:r>
          </w:p>
        </w:tc>
      </w:tr>
      <w:tr w:rsidR="00F3035F" w:rsidTr="002B09D5">
        <w:trPr>
          <w:trHeight w:val="4680"/>
        </w:trPr>
        <w:tc>
          <w:tcPr>
            <w:tcW w:w="2059" w:type="pct"/>
            <w:tcBorders>
              <w:top w:val="single" w:sz="2" w:space="0" w:color="auto"/>
              <w:left w:val="single" w:sz="4" w:space="0" w:color="auto"/>
              <w:right w:val="single" w:sz="4" w:space="0" w:color="auto"/>
            </w:tcBorders>
          </w:tcPr>
          <w:p w:rsidR="00F3035F" w:rsidRPr="00F964EF" w:rsidRDefault="00F3035F" w:rsidP="00F964EF">
            <w:pPr>
              <w:spacing w:line="440" w:lineRule="exact"/>
              <w:jc w:val="both"/>
              <w:rPr>
                <w:rFonts w:ascii="標楷體" w:eastAsia="標楷體" w:hAnsi="標楷體" w:cs="新細明體"/>
                <w:b/>
                <w:bCs/>
                <w:kern w:val="0"/>
                <w:sz w:val="28"/>
                <w:szCs w:val="24"/>
              </w:rPr>
            </w:pPr>
            <w:r w:rsidRPr="00F964EF">
              <w:rPr>
                <w:rFonts w:ascii="標楷體" w:eastAsia="標楷體" w:hAnsi="標楷體" w:cs="新細明體" w:hint="eastAsia"/>
                <w:b/>
                <w:bCs/>
                <w:kern w:val="0"/>
                <w:sz w:val="28"/>
                <w:szCs w:val="24"/>
              </w:rPr>
              <w:t>支給對象：</w:t>
            </w:r>
          </w:p>
          <w:p w:rsidR="00F3035F" w:rsidRPr="00F964EF" w:rsidRDefault="00F3035F" w:rsidP="00F964EF">
            <w:pPr>
              <w:pStyle w:val="ab"/>
              <w:numPr>
                <w:ilvl w:val="0"/>
                <w:numId w:val="7"/>
              </w:numPr>
              <w:spacing w:line="440" w:lineRule="exact"/>
              <w:ind w:leftChars="0" w:left="624" w:hanging="624"/>
              <w:jc w:val="both"/>
              <w:rPr>
                <w:rFonts w:ascii="標楷體" w:eastAsia="標楷體" w:hAnsi="標楷體" w:cs="新細明體"/>
                <w:bCs/>
                <w:kern w:val="0"/>
                <w:sz w:val="28"/>
                <w:szCs w:val="24"/>
              </w:rPr>
            </w:pPr>
            <w:r w:rsidRPr="00F964EF">
              <w:rPr>
                <w:rFonts w:ascii="標楷體" w:eastAsia="標楷體" w:hAnsi="標楷體" w:cs="新細明體" w:hint="eastAsia"/>
                <w:bCs/>
                <w:kern w:val="0"/>
                <w:sz w:val="28"/>
                <w:szCs w:val="24"/>
              </w:rPr>
              <w:t>中央及地方各級行政機關（構）及公立學校（以下簡稱各機關）實際從事工程業務，且屬年度總預算所列員額及年度進行中經核准增加員額之現職公務人員、工友、技工、駕駛、聘僱人員及駐衛警察。</w:t>
            </w:r>
          </w:p>
          <w:p w:rsidR="00F3035F" w:rsidRPr="00F964EF" w:rsidRDefault="00F3035F" w:rsidP="00F964EF">
            <w:pPr>
              <w:pStyle w:val="ab"/>
              <w:numPr>
                <w:ilvl w:val="0"/>
                <w:numId w:val="7"/>
              </w:numPr>
              <w:spacing w:line="440" w:lineRule="exact"/>
              <w:ind w:leftChars="0" w:left="624" w:hanging="624"/>
              <w:jc w:val="both"/>
              <w:rPr>
                <w:rFonts w:ascii="標楷體" w:eastAsia="標楷體" w:hAnsi="標楷體" w:cs="新細明體"/>
                <w:bCs/>
                <w:kern w:val="0"/>
                <w:sz w:val="28"/>
                <w:szCs w:val="24"/>
              </w:rPr>
            </w:pPr>
            <w:r w:rsidRPr="00F964EF">
              <w:rPr>
                <w:rFonts w:ascii="標楷體" w:eastAsia="標楷體" w:hAnsi="標楷體" w:cs="新細明體" w:hint="eastAsia"/>
                <w:bCs/>
                <w:kern w:val="0"/>
                <w:sz w:val="28"/>
                <w:szCs w:val="24"/>
              </w:rPr>
              <w:t>其他機關借調、兼職或代理之人員，如有實際從事工程業務之事實，得比照適用。</w:t>
            </w:r>
          </w:p>
        </w:tc>
        <w:tc>
          <w:tcPr>
            <w:tcW w:w="2941" w:type="pct"/>
            <w:tcBorders>
              <w:left w:val="single" w:sz="4" w:space="0" w:color="auto"/>
              <w:right w:val="single" w:sz="4" w:space="0" w:color="auto"/>
            </w:tcBorders>
          </w:tcPr>
          <w:p w:rsidR="00F3035F" w:rsidRDefault="00F3035F" w:rsidP="00F964EF">
            <w:pPr>
              <w:spacing w:line="440" w:lineRule="exact"/>
              <w:jc w:val="both"/>
              <w:rPr>
                <w:rFonts w:ascii="標楷體" w:eastAsia="標楷體" w:hAnsi="標楷體"/>
                <w:color w:val="000000"/>
                <w:sz w:val="28"/>
              </w:rPr>
            </w:pPr>
            <w:r w:rsidRPr="00F964EF">
              <w:rPr>
                <w:rFonts w:ascii="標楷體" w:eastAsia="標楷體" w:hAnsi="標楷體" w:hint="eastAsia"/>
                <w:sz w:val="28"/>
              </w:rPr>
              <w:t>工程獎金支給對象</w:t>
            </w:r>
            <w:r w:rsidRPr="00F964EF">
              <w:rPr>
                <w:rFonts w:ascii="標楷體" w:eastAsia="標楷體" w:hAnsi="標楷體" w:hint="eastAsia"/>
                <w:color w:val="000000"/>
                <w:sz w:val="28"/>
              </w:rPr>
              <w:t>係以行政機關</w:t>
            </w:r>
            <w:r w:rsidR="004B4AFD">
              <w:rPr>
                <w:rFonts w:ascii="標楷體" w:eastAsia="標楷體" w:hAnsi="標楷體" w:hint="eastAsia"/>
                <w:color w:val="000000"/>
                <w:sz w:val="28"/>
              </w:rPr>
              <w:t>(構)</w:t>
            </w:r>
            <w:r w:rsidR="004B4AFD" w:rsidRPr="00F964EF">
              <w:rPr>
                <w:rFonts w:ascii="標楷體" w:eastAsia="標楷體" w:hAnsi="標楷體" w:cs="新細明體" w:hint="eastAsia"/>
                <w:bCs/>
                <w:kern w:val="0"/>
                <w:sz w:val="28"/>
                <w:szCs w:val="24"/>
              </w:rPr>
              <w:t xml:space="preserve"> 及公立學校</w:t>
            </w:r>
            <w:r w:rsidRPr="00F964EF">
              <w:rPr>
                <w:rFonts w:ascii="標楷體" w:eastAsia="標楷體" w:hAnsi="標楷體" w:hint="eastAsia"/>
                <w:color w:val="000000"/>
                <w:sz w:val="28"/>
              </w:rPr>
              <w:t>人員為限，未包含公營事業機構員工、國防部所屬工程單位(含文職人員)。</w:t>
            </w:r>
          </w:p>
          <w:p w:rsidR="00F3035F" w:rsidRPr="00F3035F" w:rsidRDefault="00F3035F" w:rsidP="004B4AFD">
            <w:pPr>
              <w:spacing w:line="440" w:lineRule="exact"/>
              <w:jc w:val="both"/>
              <w:rPr>
                <w:rFonts w:ascii="標楷體" w:eastAsia="標楷體" w:hAnsi="標楷體"/>
                <w:color w:val="000000"/>
                <w:sz w:val="28"/>
              </w:rPr>
            </w:pPr>
          </w:p>
        </w:tc>
      </w:tr>
      <w:tr w:rsidR="00F3035F" w:rsidTr="002B09D5">
        <w:trPr>
          <w:trHeight w:val="680"/>
        </w:trPr>
        <w:tc>
          <w:tcPr>
            <w:tcW w:w="2059" w:type="pct"/>
            <w:tcBorders>
              <w:top w:val="single" w:sz="4" w:space="0" w:color="auto"/>
              <w:right w:val="single" w:sz="4" w:space="0" w:color="auto"/>
            </w:tcBorders>
          </w:tcPr>
          <w:p w:rsidR="00F3035F" w:rsidRPr="00F964EF" w:rsidRDefault="00F3035F" w:rsidP="00F964EF">
            <w:pPr>
              <w:spacing w:line="440" w:lineRule="exact"/>
              <w:jc w:val="both"/>
              <w:rPr>
                <w:rFonts w:ascii="標楷體" w:eastAsia="標楷體" w:hAnsi="標楷體" w:cs="新細明體"/>
                <w:b/>
                <w:bCs/>
                <w:kern w:val="0"/>
                <w:sz w:val="28"/>
                <w:szCs w:val="24"/>
              </w:rPr>
            </w:pPr>
            <w:r w:rsidRPr="00F964EF">
              <w:rPr>
                <w:rFonts w:ascii="標楷體" w:eastAsia="標楷體" w:hAnsi="標楷體" w:cs="新細明體" w:hint="eastAsia"/>
                <w:b/>
                <w:bCs/>
                <w:kern w:val="0"/>
                <w:sz w:val="28"/>
                <w:szCs w:val="24"/>
              </w:rPr>
              <w:t>提撥上限：</w:t>
            </w:r>
          </w:p>
          <w:p w:rsidR="00F3035F" w:rsidRPr="00F964EF" w:rsidRDefault="00F3035F" w:rsidP="00F964EF">
            <w:pPr>
              <w:spacing w:line="440" w:lineRule="exact"/>
              <w:jc w:val="both"/>
              <w:rPr>
                <w:rFonts w:ascii="標楷體" w:eastAsia="標楷體" w:hAnsi="標楷體"/>
                <w:sz w:val="28"/>
              </w:rPr>
            </w:pPr>
            <w:r w:rsidRPr="00F964EF">
              <w:rPr>
                <w:rFonts w:ascii="標楷體" w:eastAsia="標楷體" w:hAnsi="標楷體" w:hint="eastAsia"/>
                <w:sz w:val="28"/>
              </w:rPr>
              <w:t>各機關得就實際從事工程業務，且其職務歸列為土木工程、結構工程、水利工程、環境工程、建築工程、都市計畫技術、景觀設計、水土保持工程、機械工程、電力（子）工程、電信工程職系之工程技術預算員額，以每人每年度最高提撥新臺幣4萬5千元核算之。</w:t>
            </w:r>
          </w:p>
          <w:p w:rsidR="00F3035F" w:rsidRPr="00F964EF" w:rsidRDefault="00F3035F" w:rsidP="00F964EF">
            <w:pPr>
              <w:spacing w:line="440" w:lineRule="exact"/>
              <w:jc w:val="both"/>
              <w:rPr>
                <w:rFonts w:ascii="標楷體" w:eastAsia="標楷體" w:hAnsi="標楷體" w:cs="新細明體"/>
                <w:color w:val="000000"/>
                <w:sz w:val="28"/>
                <w:szCs w:val="24"/>
              </w:rPr>
            </w:pPr>
          </w:p>
        </w:tc>
        <w:tc>
          <w:tcPr>
            <w:tcW w:w="2941" w:type="pct"/>
            <w:tcBorders>
              <w:left w:val="single" w:sz="4" w:space="0" w:color="auto"/>
              <w:right w:val="single" w:sz="4" w:space="0" w:color="auto"/>
            </w:tcBorders>
          </w:tcPr>
          <w:p w:rsidR="00F3035F" w:rsidRPr="00F964EF" w:rsidRDefault="002B09D5" w:rsidP="00F964EF">
            <w:pPr>
              <w:pStyle w:val="ab"/>
              <w:numPr>
                <w:ilvl w:val="0"/>
                <w:numId w:val="8"/>
              </w:numPr>
              <w:spacing w:line="440" w:lineRule="exact"/>
              <w:ind w:leftChars="0"/>
              <w:jc w:val="both"/>
              <w:rPr>
                <w:rFonts w:ascii="標楷體" w:eastAsia="標楷體" w:hAnsi="標楷體"/>
                <w:sz w:val="28"/>
              </w:rPr>
            </w:pPr>
            <w:r>
              <w:rPr>
                <w:rFonts w:ascii="標楷體" w:eastAsia="標楷體" w:hAnsi="標楷體" w:hint="eastAsia"/>
                <w:sz w:val="28"/>
              </w:rPr>
              <w:t>「工程獎金</w:t>
            </w:r>
            <w:r w:rsidR="00F3035F" w:rsidRPr="00F964EF">
              <w:rPr>
                <w:rFonts w:ascii="標楷體" w:eastAsia="標楷體" w:hAnsi="標楷體" w:hint="eastAsia"/>
                <w:sz w:val="28"/>
              </w:rPr>
              <w:t>支給表</w:t>
            </w:r>
            <w:r>
              <w:rPr>
                <w:rFonts w:ascii="標楷體" w:eastAsia="標楷體" w:hAnsi="標楷體" w:hint="eastAsia"/>
                <w:sz w:val="28"/>
              </w:rPr>
              <w:t>」</w:t>
            </w:r>
            <w:r w:rsidR="00F3035F" w:rsidRPr="00F964EF">
              <w:rPr>
                <w:rFonts w:ascii="標楷體" w:eastAsia="標楷體" w:hAnsi="標楷體" w:hint="eastAsia"/>
                <w:sz w:val="28"/>
              </w:rPr>
              <w:t>規定得提撥工程獎金經費之對象係指各機關內實際從事工程業務之人員，他機關人員尚不得參與提撥工程獎金。</w:t>
            </w:r>
          </w:p>
          <w:p w:rsidR="00F3035F" w:rsidRPr="00F3035F" w:rsidRDefault="00313C39" w:rsidP="00F3035F">
            <w:pPr>
              <w:pStyle w:val="ab"/>
              <w:numPr>
                <w:ilvl w:val="0"/>
                <w:numId w:val="8"/>
              </w:numPr>
              <w:spacing w:line="440" w:lineRule="exact"/>
              <w:ind w:leftChars="0"/>
              <w:jc w:val="both"/>
              <w:rPr>
                <w:rFonts w:ascii="標楷體" w:eastAsia="標楷體" w:hAnsi="標楷體"/>
                <w:sz w:val="28"/>
              </w:rPr>
            </w:pPr>
            <w:r>
              <w:rPr>
                <w:rFonts w:ascii="標楷體" w:eastAsia="標楷體" w:hAnsi="標楷體" w:hint="eastAsia"/>
                <w:color w:val="000000"/>
                <w:sz w:val="28"/>
              </w:rPr>
              <w:t>各機關</w:t>
            </w:r>
            <w:r w:rsidR="00F3035F" w:rsidRPr="00F3035F">
              <w:rPr>
                <w:rFonts w:ascii="標楷體" w:eastAsia="標楷體" w:hAnsi="標楷體" w:hint="eastAsia"/>
                <w:color w:val="000000"/>
                <w:sz w:val="28"/>
              </w:rPr>
              <w:t>實際從事工程業務達80％以上</w:t>
            </w:r>
            <w:r>
              <w:rPr>
                <w:rFonts w:ascii="標楷體" w:eastAsia="標楷體" w:hAnsi="標楷體" w:hint="eastAsia"/>
                <w:color w:val="000000"/>
                <w:sz w:val="28"/>
              </w:rPr>
              <w:t>之</w:t>
            </w:r>
            <w:r w:rsidRPr="00F3035F">
              <w:rPr>
                <w:rFonts w:ascii="標楷體" w:eastAsia="標楷體" w:hAnsi="標楷體" w:hint="eastAsia"/>
                <w:sz w:val="28"/>
              </w:rPr>
              <w:t>技工及</w:t>
            </w:r>
            <w:r>
              <w:rPr>
                <w:rFonts w:ascii="標楷體" w:eastAsia="標楷體" w:hAnsi="標楷體" w:hint="eastAsia"/>
                <w:color w:val="000000"/>
                <w:sz w:val="28"/>
              </w:rPr>
              <w:t>工友預算員額</w:t>
            </w:r>
            <w:r w:rsidR="00F3035F" w:rsidRPr="00F3035F">
              <w:rPr>
                <w:rFonts w:ascii="標楷體" w:eastAsia="標楷體" w:hAnsi="標楷體" w:hint="eastAsia"/>
                <w:color w:val="000000"/>
                <w:sz w:val="28"/>
              </w:rPr>
              <w:t>，</w:t>
            </w:r>
            <w:r w:rsidR="00581269" w:rsidRPr="00F964EF">
              <w:rPr>
                <w:rFonts w:ascii="標楷體" w:eastAsia="標楷體" w:hAnsi="標楷體" w:hint="eastAsia"/>
                <w:sz w:val="28"/>
              </w:rPr>
              <w:t>得依「工程獎金支給表」規定提撥獎金額度。</w:t>
            </w:r>
          </w:p>
          <w:p w:rsidR="00F3035F" w:rsidRDefault="00F3035F" w:rsidP="00F3035F">
            <w:pPr>
              <w:pStyle w:val="ab"/>
              <w:numPr>
                <w:ilvl w:val="0"/>
                <w:numId w:val="8"/>
              </w:numPr>
              <w:spacing w:line="440" w:lineRule="exact"/>
              <w:ind w:leftChars="0"/>
              <w:jc w:val="both"/>
              <w:rPr>
                <w:rFonts w:ascii="標楷體" w:eastAsia="標楷體" w:hAnsi="標楷體" w:cs="Tahoma"/>
                <w:color w:val="000000"/>
                <w:kern w:val="0"/>
                <w:szCs w:val="24"/>
              </w:rPr>
            </w:pPr>
            <w:r w:rsidRPr="00F964EF">
              <w:rPr>
                <w:rFonts w:ascii="標楷體" w:eastAsia="標楷體" w:hAnsi="標楷體" w:hint="eastAsia"/>
                <w:sz w:val="28"/>
              </w:rPr>
              <w:t>依「聘用人員聘用條例」聘用及依「行政院暨所屬機關約僱人員僱用辦法」僱用之約聘僱員額，如其具工程技術資格專長（所具學歷為公務人員高等考試三級考試應試資格表土木工程、結構工程、水利工程、環境工程、</w:t>
            </w:r>
            <w:r w:rsidRPr="00F964EF">
              <w:rPr>
                <w:rFonts w:ascii="標楷體" w:eastAsia="標楷體" w:hAnsi="標楷體" w:hint="eastAsia"/>
                <w:sz w:val="28"/>
              </w:rPr>
              <w:lastRenderedPageBreak/>
              <w:t>建築工程、都市計畫技術、景觀設計、水土保持工程、機械工程、電力（子）工程、電信工程職系所列者，100年1月17日前以進用者，其學歷僅需專科以上），且其</w:t>
            </w:r>
            <w:r w:rsidR="00313C39">
              <w:rPr>
                <w:rFonts w:ascii="標楷體" w:eastAsia="標楷體" w:hAnsi="標楷體" w:hint="eastAsia"/>
                <w:sz w:val="28"/>
              </w:rPr>
              <w:t>聘</w:t>
            </w:r>
            <w:r w:rsidRPr="00F964EF">
              <w:rPr>
                <w:rFonts w:ascii="標楷體" w:eastAsia="標楷體" w:hAnsi="標楷體" w:hint="eastAsia"/>
                <w:sz w:val="28"/>
              </w:rPr>
              <w:t>僱用契約書之工作內容係辦理工程技術業務，並實際辦理工程技術業務達80%以上者，得依「工程獎金支給表」規定提撥獎金額度。</w:t>
            </w:r>
          </w:p>
          <w:p w:rsidR="00F3035F" w:rsidRPr="002545FE" w:rsidRDefault="002B09D5" w:rsidP="00313C39">
            <w:pPr>
              <w:pStyle w:val="ab"/>
              <w:numPr>
                <w:ilvl w:val="0"/>
                <w:numId w:val="8"/>
              </w:numPr>
              <w:spacing w:line="440" w:lineRule="exact"/>
              <w:ind w:leftChars="0"/>
              <w:jc w:val="both"/>
              <w:rPr>
                <w:rFonts w:ascii="標楷體" w:eastAsia="標楷體" w:hAnsi="標楷體"/>
                <w:sz w:val="28"/>
              </w:rPr>
            </w:pPr>
            <w:r w:rsidRPr="002B09D5">
              <w:rPr>
                <w:rFonts w:ascii="標楷體" w:eastAsia="標楷體" w:hAnsi="標楷體" w:hint="eastAsia"/>
                <w:sz w:val="28"/>
              </w:rPr>
              <w:t>新進及調任人員，毋須按實際在職月數比例計算</w:t>
            </w:r>
            <w:r w:rsidR="00056884">
              <w:rPr>
                <w:rFonts w:ascii="標楷體" w:eastAsia="標楷體" w:hAnsi="標楷體" w:hint="eastAsia"/>
                <w:sz w:val="28"/>
              </w:rPr>
              <w:t>提撥</w:t>
            </w:r>
            <w:r w:rsidR="00056884" w:rsidRPr="00F964EF">
              <w:rPr>
                <w:rFonts w:ascii="標楷體" w:eastAsia="標楷體" w:hAnsi="標楷體" w:cs="新細明體" w:hint="eastAsia"/>
                <w:color w:val="000000"/>
                <w:sz w:val="28"/>
                <w:szCs w:val="24"/>
              </w:rPr>
              <w:t>工程獎金金額</w:t>
            </w:r>
            <w:r w:rsidR="00581269">
              <w:rPr>
                <w:rFonts w:ascii="標楷體" w:eastAsia="標楷體" w:hAnsi="標楷體" w:hint="eastAsia"/>
                <w:sz w:val="28"/>
              </w:rPr>
              <w:t>。</w:t>
            </w:r>
            <w:r w:rsidR="002545FE">
              <w:rPr>
                <w:rFonts w:ascii="標楷體" w:eastAsia="標楷體" w:hAnsi="標楷體" w:hint="eastAsia"/>
                <w:sz w:val="28"/>
              </w:rPr>
              <w:t>至</w:t>
            </w:r>
            <w:r w:rsidR="002545FE" w:rsidRPr="00F964EF">
              <w:rPr>
                <w:rFonts w:ascii="標楷體" w:eastAsia="標楷體" w:hAnsi="標楷體" w:hint="eastAsia"/>
                <w:sz w:val="28"/>
              </w:rPr>
              <w:t>原符合規定之職系</w:t>
            </w:r>
            <w:r w:rsidR="002545FE">
              <w:rPr>
                <w:rFonts w:ascii="標楷體" w:eastAsia="標楷體" w:hAnsi="標楷體" w:hint="eastAsia"/>
                <w:sz w:val="28"/>
              </w:rPr>
              <w:t>於年度中變更為不符規定之職系之人員，</w:t>
            </w:r>
            <w:r w:rsidR="002545FE" w:rsidRPr="00F964EF">
              <w:rPr>
                <w:rFonts w:ascii="標楷體" w:eastAsia="標楷體" w:hAnsi="標楷體" w:hint="eastAsia"/>
                <w:sz w:val="28"/>
              </w:rPr>
              <w:t>得按原符合規定之職系</w:t>
            </w:r>
            <w:r w:rsidR="002545FE" w:rsidRPr="00F964EF">
              <w:rPr>
                <w:rFonts w:ascii="標楷體" w:eastAsia="標楷體" w:hAnsi="標楷體" w:cs="新細明體" w:hint="eastAsia"/>
                <w:color w:val="000000"/>
                <w:sz w:val="28"/>
                <w:szCs w:val="24"/>
              </w:rPr>
              <w:t>所佔年度月數比例，計算提撥工程獎金金額</w:t>
            </w:r>
            <w:r w:rsidR="002545FE" w:rsidRPr="00F964EF">
              <w:rPr>
                <w:rFonts w:ascii="標楷體" w:eastAsia="標楷體" w:hAnsi="標楷體" w:hint="eastAsia"/>
                <w:color w:val="000000"/>
                <w:sz w:val="28"/>
              </w:rPr>
              <w:t>。</w:t>
            </w:r>
            <w:r w:rsidR="002545FE" w:rsidRPr="00F3035F">
              <w:rPr>
                <w:rFonts w:ascii="標楷體" w:eastAsia="標楷體" w:hAnsi="標楷體" w:hint="eastAsia"/>
                <w:szCs w:val="24"/>
              </w:rPr>
              <w:t xml:space="preserve"> </w:t>
            </w:r>
          </w:p>
        </w:tc>
      </w:tr>
      <w:tr w:rsidR="00F3035F" w:rsidTr="002B09D5">
        <w:trPr>
          <w:trHeight w:val="680"/>
        </w:trPr>
        <w:tc>
          <w:tcPr>
            <w:tcW w:w="2059" w:type="pct"/>
            <w:tcBorders>
              <w:top w:val="single" w:sz="4" w:space="0" w:color="auto"/>
              <w:right w:val="single" w:sz="4" w:space="0" w:color="auto"/>
            </w:tcBorders>
          </w:tcPr>
          <w:p w:rsidR="00F3035F" w:rsidRPr="00F964EF" w:rsidRDefault="00F3035F" w:rsidP="00F964EF">
            <w:pPr>
              <w:spacing w:line="440" w:lineRule="exact"/>
              <w:jc w:val="both"/>
              <w:rPr>
                <w:rFonts w:ascii="標楷體" w:eastAsia="標楷體" w:hAnsi="標楷體" w:cs="新細明體"/>
                <w:b/>
                <w:bCs/>
                <w:kern w:val="0"/>
                <w:sz w:val="28"/>
                <w:szCs w:val="24"/>
              </w:rPr>
            </w:pPr>
            <w:r w:rsidRPr="00F964EF">
              <w:rPr>
                <w:rFonts w:ascii="標楷體" w:eastAsia="標楷體" w:hAnsi="標楷體" w:cs="新細明體" w:hint="eastAsia"/>
                <w:b/>
                <w:bCs/>
                <w:kern w:val="0"/>
                <w:sz w:val="28"/>
                <w:szCs w:val="24"/>
              </w:rPr>
              <w:lastRenderedPageBreak/>
              <w:t>各工程實際提撥額度：</w:t>
            </w:r>
          </w:p>
          <w:p w:rsidR="00F3035F" w:rsidRPr="00056884" w:rsidRDefault="00F3035F" w:rsidP="00056884">
            <w:pPr>
              <w:pStyle w:val="ab"/>
              <w:numPr>
                <w:ilvl w:val="1"/>
                <w:numId w:val="8"/>
              </w:numPr>
              <w:spacing w:line="440" w:lineRule="exact"/>
              <w:ind w:leftChars="0" w:left="567" w:hanging="567"/>
              <w:jc w:val="both"/>
              <w:rPr>
                <w:rFonts w:ascii="標楷體" w:eastAsia="標楷體" w:hAnsi="標楷體" w:cs="新細明體"/>
                <w:bCs/>
                <w:kern w:val="0"/>
                <w:sz w:val="28"/>
                <w:szCs w:val="24"/>
              </w:rPr>
            </w:pPr>
            <w:r w:rsidRPr="00056884">
              <w:rPr>
                <w:rFonts w:ascii="標楷體" w:eastAsia="標楷體" w:hAnsi="標楷體" w:cs="新細明體" w:hint="eastAsia"/>
                <w:bCs/>
                <w:kern w:val="0"/>
                <w:sz w:val="28"/>
                <w:szCs w:val="24"/>
              </w:rPr>
              <w:t>自辦工程規劃、設計或監造相關業務者，得按全年度預算執行率70%以上未達80%及80%以上，分別於實際執行之工程費實提工程管理費35%及40%內提撥。地方機關</w:t>
            </w:r>
            <w:r w:rsidR="00056884">
              <w:rPr>
                <w:rFonts w:ascii="標楷體" w:eastAsia="標楷體" w:hAnsi="標楷體" w:cs="新細明體" w:hint="eastAsia"/>
                <w:bCs/>
                <w:kern w:val="0"/>
                <w:sz w:val="28"/>
                <w:szCs w:val="24"/>
              </w:rPr>
              <w:t>及公立學校</w:t>
            </w:r>
            <w:r w:rsidRPr="00056884">
              <w:rPr>
                <w:rFonts w:ascii="標楷體" w:eastAsia="標楷體" w:hAnsi="標楷體" w:cs="新細明體" w:hint="eastAsia"/>
                <w:bCs/>
                <w:kern w:val="0"/>
                <w:sz w:val="28"/>
                <w:szCs w:val="24"/>
              </w:rPr>
              <w:t>全年度預算執行率達60%以上未達70%者，得於實際執行之工程費實提工程管理費30%內提撥及全年度預算執行率達前3年各項</w:t>
            </w:r>
            <w:r w:rsidRPr="00056884">
              <w:rPr>
                <w:rFonts w:ascii="標楷體" w:eastAsia="標楷體" w:hAnsi="標楷體" w:cs="新細明體" w:hint="eastAsia"/>
                <w:bCs/>
                <w:kern w:val="0"/>
                <w:sz w:val="28"/>
                <w:szCs w:val="24"/>
              </w:rPr>
              <w:lastRenderedPageBreak/>
              <w:t>工程計畫之預算執行率平均數者，得於其實際執行之工程費實提工程管理費20%提撥。</w:t>
            </w:r>
          </w:p>
          <w:p w:rsidR="00F3035F" w:rsidRPr="00F964EF" w:rsidRDefault="00F3035F" w:rsidP="00056884">
            <w:pPr>
              <w:pStyle w:val="ab"/>
              <w:numPr>
                <w:ilvl w:val="1"/>
                <w:numId w:val="8"/>
              </w:numPr>
              <w:spacing w:line="440" w:lineRule="exact"/>
              <w:ind w:leftChars="0" w:left="567" w:hanging="567"/>
              <w:jc w:val="both"/>
              <w:rPr>
                <w:rFonts w:ascii="標楷體" w:eastAsia="標楷體" w:hAnsi="標楷體" w:cs="新細明體"/>
                <w:bCs/>
                <w:kern w:val="0"/>
                <w:sz w:val="28"/>
                <w:szCs w:val="24"/>
              </w:rPr>
            </w:pPr>
            <w:r w:rsidRPr="00F964EF">
              <w:rPr>
                <w:rFonts w:ascii="標楷體" w:eastAsia="標楷體" w:hAnsi="標楷體" w:cs="新細明體" w:hint="eastAsia"/>
                <w:bCs/>
                <w:kern w:val="0"/>
                <w:sz w:val="28"/>
                <w:szCs w:val="24"/>
              </w:rPr>
              <w:t>非自辦工程規劃、設計或監造但實際從事工程相關業務者，按上開自辦相關業務者之提撥額度之七成提撥；代辦其他機關工程者，比照上開提撥規定辦理。</w:t>
            </w:r>
          </w:p>
          <w:p w:rsidR="00F3035F" w:rsidRPr="00F964EF" w:rsidRDefault="00F3035F" w:rsidP="00F964EF">
            <w:pPr>
              <w:spacing w:line="440" w:lineRule="exact"/>
              <w:jc w:val="both"/>
              <w:rPr>
                <w:rFonts w:ascii="標楷體" w:eastAsia="標楷體" w:hAnsi="標楷體" w:cs="新細明體"/>
                <w:b/>
                <w:bCs/>
                <w:kern w:val="0"/>
                <w:sz w:val="28"/>
                <w:szCs w:val="24"/>
              </w:rPr>
            </w:pPr>
          </w:p>
        </w:tc>
        <w:tc>
          <w:tcPr>
            <w:tcW w:w="2941" w:type="pct"/>
            <w:tcBorders>
              <w:left w:val="single" w:sz="4" w:space="0" w:color="auto"/>
              <w:right w:val="single" w:sz="4" w:space="0" w:color="auto"/>
            </w:tcBorders>
          </w:tcPr>
          <w:p w:rsidR="004C1806" w:rsidRPr="004C1806" w:rsidRDefault="004C1806" w:rsidP="004B4AFD">
            <w:pPr>
              <w:pStyle w:val="ab"/>
              <w:numPr>
                <w:ilvl w:val="0"/>
                <w:numId w:val="9"/>
              </w:numPr>
              <w:spacing w:line="440" w:lineRule="exact"/>
              <w:ind w:leftChars="0"/>
              <w:jc w:val="both"/>
              <w:rPr>
                <w:rFonts w:ascii="標楷體" w:eastAsia="標楷體" w:hAnsi="標楷體"/>
                <w:sz w:val="28"/>
              </w:rPr>
            </w:pPr>
            <w:r w:rsidRPr="00F964EF">
              <w:rPr>
                <w:rFonts w:ascii="標楷體" w:eastAsia="標楷體" w:hAnsi="標楷體" w:hint="eastAsia"/>
                <w:sz w:val="28"/>
              </w:rPr>
              <w:lastRenderedPageBreak/>
              <w:t>工程獎金之提撥，應以有實際執行工程預算之事實為前提，爰於尚無工程預算時先行辦理可行性研究及工程先期規劃不符提撥工程獎金要件。</w:t>
            </w:r>
          </w:p>
          <w:p w:rsidR="004C1806" w:rsidRPr="004C1806" w:rsidRDefault="004C1806" w:rsidP="004B4AFD">
            <w:pPr>
              <w:pStyle w:val="ab"/>
              <w:numPr>
                <w:ilvl w:val="0"/>
                <w:numId w:val="9"/>
              </w:numPr>
              <w:spacing w:line="440" w:lineRule="exact"/>
              <w:ind w:leftChars="0"/>
              <w:jc w:val="both"/>
              <w:rPr>
                <w:rFonts w:ascii="標楷體" w:eastAsia="標楷體" w:hAnsi="標楷體"/>
                <w:sz w:val="28"/>
              </w:rPr>
            </w:pPr>
            <w:r w:rsidRPr="00F964EF">
              <w:rPr>
                <w:rFonts w:ascii="標楷體" w:eastAsia="標楷體" w:hAnsi="標楷體" w:hint="eastAsia"/>
                <w:sz w:val="28"/>
              </w:rPr>
              <w:t>當年度未提撥工程獎金或無相關預算執行率之工程，不得於隔年度發包後再提列工程管理費支應當年度工程獎金(如</w:t>
            </w:r>
            <w:r w:rsidR="00056884">
              <w:rPr>
                <w:rFonts w:ascii="標楷體" w:eastAsia="標楷體" w:hAnsi="標楷體" w:hint="eastAsia"/>
                <w:sz w:val="28"/>
              </w:rPr>
              <w:t>106</w:t>
            </w:r>
            <w:r w:rsidRPr="00F964EF">
              <w:rPr>
                <w:rFonts w:ascii="標楷體" w:eastAsia="標楷體" w:hAnsi="標楷體" w:hint="eastAsia"/>
                <w:sz w:val="28"/>
              </w:rPr>
              <w:t>年度未提撥工程管理費或無相關預算執行率之工程，不得於</w:t>
            </w:r>
            <w:r w:rsidR="00056884">
              <w:rPr>
                <w:rFonts w:ascii="標楷體" w:eastAsia="標楷體" w:hAnsi="標楷體" w:hint="eastAsia"/>
                <w:sz w:val="28"/>
              </w:rPr>
              <w:t>107</w:t>
            </w:r>
            <w:r w:rsidRPr="00F964EF">
              <w:rPr>
                <w:rFonts w:ascii="標楷體" w:eastAsia="標楷體" w:hAnsi="標楷體" w:hint="eastAsia"/>
                <w:sz w:val="28"/>
              </w:rPr>
              <w:t>年度發包後再提列工程管理費支應</w:t>
            </w:r>
            <w:r w:rsidR="00056884">
              <w:rPr>
                <w:rFonts w:ascii="標楷體" w:eastAsia="標楷體" w:hAnsi="標楷體" w:hint="eastAsia"/>
                <w:sz w:val="28"/>
              </w:rPr>
              <w:t>106</w:t>
            </w:r>
            <w:r w:rsidRPr="00F964EF">
              <w:rPr>
                <w:rFonts w:ascii="標楷體" w:eastAsia="標楷體" w:hAnsi="標楷體" w:hint="eastAsia"/>
                <w:sz w:val="28"/>
              </w:rPr>
              <w:t>年度工程獎金。)</w:t>
            </w:r>
            <w:r w:rsidRPr="00F3035F">
              <w:rPr>
                <w:rFonts w:ascii="標楷體" w:eastAsia="標楷體" w:hAnsi="標楷體" w:hint="eastAsia"/>
                <w:szCs w:val="24"/>
              </w:rPr>
              <w:t xml:space="preserve"> </w:t>
            </w:r>
          </w:p>
          <w:p w:rsidR="004B4AFD" w:rsidRDefault="004B4AFD" w:rsidP="004B4AFD">
            <w:pPr>
              <w:pStyle w:val="ab"/>
              <w:numPr>
                <w:ilvl w:val="0"/>
                <w:numId w:val="9"/>
              </w:numPr>
              <w:spacing w:line="440" w:lineRule="exact"/>
              <w:ind w:leftChars="0"/>
              <w:jc w:val="both"/>
              <w:rPr>
                <w:rFonts w:ascii="標楷體" w:eastAsia="標楷體" w:hAnsi="標楷體"/>
                <w:sz w:val="28"/>
              </w:rPr>
            </w:pPr>
            <w:r w:rsidRPr="004B4AFD">
              <w:rPr>
                <w:rFonts w:ascii="標楷體" w:eastAsia="標楷體" w:hAnsi="標楷體" w:hint="eastAsia"/>
                <w:sz w:val="28"/>
              </w:rPr>
              <w:t>評估各項工程計畫全年度預算執行率，係按個別工程分別計算。如某</w:t>
            </w:r>
            <w:r w:rsidR="00D33B53">
              <w:rPr>
                <w:rFonts w:ascii="標楷體" w:eastAsia="標楷體" w:hAnsi="標楷體" w:hint="eastAsia"/>
                <w:sz w:val="28"/>
              </w:rPr>
              <w:t>地方</w:t>
            </w:r>
            <w:r w:rsidRPr="004B4AFD">
              <w:rPr>
                <w:rFonts w:ascii="標楷體" w:eastAsia="標楷體" w:hAnsi="標楷體" w:hint="eastAsia"/>
                <w:sz w:val="28"/>
              </w:rPr>
              <w:t>機關10</w:t>
            </w:r>
            <w:r w:rsidR="004F1D3F">
              <w:rPr>
                <w:rFonts w:ascii="標楷體" w:eastAsia="標楷體" w:hAnsi="標楷體" w:hint="eastAsia"/>
                <w:sz w:val="28"/>
              </w:rPr>
              <w:t>6</w:t>
            </w:r>
            <w:r w:rsidRPr="004B4AFD">
              <w:rPr>
                <w:rFonts w:ascii="標楷體" w:eastAsia="標楷體" w:hAnsi="標楷體" w:hint="eastAsia"/>
                <w:sz w:val="28"/>
              </w:rPr>
              <w:t>年度有甲、乙</w:t>
            </w:r>
            <w:r w:rsidR="00D33B53">
              <w:rPr>
                <w:rFonts w:ascii="標楷體" w:eastAsia="標楷體" w:hAnsi="標楷體" w:hint="eastAsia"/>
                <w:sz w:val="28"/>
              </w:rPr>
              <w:t>2</w:t>
            </w:r>
            <w:r w:rsidRPr="004B4AFD">
              <w:rPr>
                <w:rFonts w:ascii="標楷體" w:eastAsia="標楷體" w:hAnsi="標楷體" w:hint="eastAsia"/>
                <w:sz w:val="28"/>
              </w:rPr>
              <w:t>項工程，（1）甲工程</w:t>
            </w:r>
            <w:r w:rsidR="00275E06">
              <w:rPr>
                <w:rFonts w:ascii="標楷體" w:eastAsia="標楷體" w:hAnsi="標楷體" w:hint="eastAsia"/>
                <w:sz w:val="28"/>
              </w:rPr>
              <w:t>106</w:t>
            </w:r>
            <w:r w:rsidR="00D33B53" w:rsidRPr="004B4AFD">
              <w:rPr>
                <w:rFonts w:ascii="標楷體" w:eastAsia="標楷體" w:hAnsi="標楷體" w:hint="eastAsia"/>
                <w:sz w:val="28"/>
              </w:rPr>
              <w:t>年度預算執行率達</w:t>
            </w:r>
            <w:r w:rsidR="00D33B53" w:rsidRPr="004B4AFD">
              <w:rPr>
                <w:rFonts w:ascii="標楷體" w:eastAsia="標楷體" w:hAnsi="標楷體" w:hint="eastAsia"/>
                <w:sz w:val="28"/>
              </w:rPr>
              <w:lastRenderedPageBreak/>
              <w:t>65%，則可在其</w:t>
            </w:r>
            <w:r w:rsidR="00275E06">
              <w:rPr>
                <w:rFonts w:ascii="標楷體" w:eastAsia="標楷體" w:hAnsi="標楷體" w:hint="eastAsia"/>
                <w:sz w:val="28"/>
              </w:rPr>
              <w:t>106</w:t>
            </w:r>
            <w:r w:rsidR="00D33B53" w:rsidRPr="004B4AFD">
              <w:rPr>
                <w:rFonts w:ascii="標楷體" w:eastAsia="標楷體" w:hAnsi="標楷體" w:hint="eastAsia"/>
                <w:sz w:val="28"/>
              </w:rPr>
              <w:t>年度實際執行之工程費實提工程管理費30%</w:t>
            </w:r>
            <w:r w:rsidR="001A6BD5">
              <w:rPr>
                <w:rFonts w:ascii="標楷體" w:eastAsia="標楷體" w:hAnsi="標楷體" w:hint="eastAsia"/>
                <w:sz w:val="28"/>
              </w:rPr>
              <w:t>之額度以內，提列工程獎金經費</w:t>
            </w:r>
            <w:r w:rsidRPr="004B4AFD">
              <w:rPr>
                <w:rFonts w:ascii="標楷體" w:eastAsia="標楷體" w:hAnsi="標楷體" w:hint="eastAsia"/>
                <w:sz w:val="28"/>
              </w:rPr>
              <w:t>；（2）乙工程</w:t>
            </w:r>
            <w:r w:rsidR="00275E06">
              <w:rPr>
                <w:rFonts w:ascii="標楷體" w:eastAsia="標楷體" w:hAnsi="標楷體" w:hint="eastAsia"/>
                <w:sz w:val="28"/>
              </w:rPr>
              <w:t>106</w:t>
            </w:r>
            <w:r w:rsidR="00D33B53" w:rsidRPr="004B4AFD">
              <w:rPr>
                <w:rFonts w:ascii="標楷體" w:eastAsia="標楷體" w:hAnsi="標楷體" w:hint="eastAsia"/>
                <w:sz w:val="28"/>
              </w:rPr>
              <w:t>年度預算執行率達前3年各項工程計畫之預算執行率平均數，則可在其</w:t>
            </w:r>
            <w:r w:rsidR="00275E06">
              <w:rPr>
                <w:rFonts w:ascii="標楷體" w:eastAsia="標楷體" w:hAnsi="標楷體" w:hint="eastAsia"/>
                <w:sz w:val="28"/>
              </w:rPr>
              <w:t>106</w:t>
            </w:r>
            <w:r w:rsidR="00D33B53" w:rsidRPr="004B4AFD">
              <w:rPr>
                <w:rFonts w:ascii="標楷體" w:eastAsia="標楷體" w:hAnsi="標楷體" w:hint="eastAsia"/>
                <w:sz w:val="28"/>
              </w:rPr>
              <w:t>年度實際執行之工程費實提工程管理費20%之額度以內，提列工程獎金經費</w:t>
            </w:r>
            <w:r w:rsidR="00D33B53">
              <w:rPr>
                <w:rFonts w:ascii="標楷體" w:eastAsia="標楷體" w:hAnsi="標楷體" w:hint="eastAsia"/>
                <w:sz w:val="28"/>
              </w:rPr>
              <w:t>。</w:t>
            </w:r>
          </w:p>
          <w:p w:rsidR="004B4AFD" w:rsidRPr="004C1806" w:rsidRDefault="00F3035F" w:rsidP="00313C39">
            <w:pPr>
              <w:pStyle w:val="ab"/>
              <w:numPr>
                <w:ilvl w:val="0"/>
                <w:numId w:val="9"/>
              </w:numPr>
              <w:spacing w:line="440" w:lineRule="exact"/>
              <w:ind w:leftChars="0"/>
              <w:jc w:val="both"/>
              <w:rPr>
                <w:rFonts w:ascii="標楷體" w:eastAsia="標楷體" w:hAnsi="標楷體"/>
                <w:sz w:val="28"/>
              </w:rPr>
            </w:pPr>
            <w:r w:rsidRPr="00F964EF">
              <w:rPr>
                <w:rFonts w:ascii="標楷體" w:eastAsia="標楷體" w:hAnsi="標楷體" w:hint="eastAsia"/>
                <w:sz w:val="28"/>
              </w:rPr>
              <w:t>地方政府</w:t>
            </w:r>
            <w:r w:rsidRPr="00F964EF">
              <w:rPr>
                <w:rFonts w:ascii="標楷體" w:eastAsia="標楷體" w:hAnsi="標楷體" w:hint="eastAsia"/>
                <w:color w:val="000000"/>
                <w:sz w:val="28"/>
              </w:rPr>
              <w:t>採購中心</w:t>
            </w:r>
            <w:r w:rsidR="004C1806">
              <w:rPr>
                <w:rFonts w:ascii="標楷體" w:eastAsia="標楷體" w:hAnsi="標楷體" w:hint="eastAsia"/>
                <w:color w:val="000000"/>
                <w:sz w:val="28"/>
              </w:rPr>
              <w:t>列有代收代付之工程管理費，但無自辦或非自辦之完整工程計畫者</w:t>
            </w:r>
            <w:r w:rsidRPr="00F964EF">
              <w:rPr>
                <w:rFonts w:ascii="標楷體" w:eastAsia="標楷體" w:hAnsi="標楷體" w:hint="eastAsia"/>
                <w:color w:val="000000"/>
                <w:sz w:val="28"/>
              </w:rPr>
              <w:t>，其預算執行率應以代為採購之工程計畫預算平均執行率核算，</w:t>
            </w:r>
            <w:r w:rsidR="004C1806">
              <w:rPr>
                <w:rFonts w:ascii="標楷體" w:eastAsia="標楷體" w:hAnsi="標楷體" w:hint="eastAsia"/>
                <w:color w:val="000000"/>
                <w:sz w:val="28"/>
              </w:rPr>
              <w:t>若預算執行率計算</w:t>
            </w:r>
            <w:r w:rsidR="002545FE">
              <w:rPr>
                <w:rFonts w:ascii="標楷體" w:eastAsia="標楷體" w:hAnsi="標楷體" w:hint="eastAsia"/>
                <w:color w:val="000000"/>
                <w:sz w:val="28"/>
              </w:rPr>
              <w:t>確有困難，再以工程計畫平均執行率替代</w:t>
            </w:r>
            <w:r w:rsidRPr="00F964EF">
              <w:rPr>
                <w:rFonts w:ascii="標楷體" w:eastAsia="標楷體" w:hAnsi="標楷體" w:hint="eastAsia"/>
                <w:color w:val="000000"/>
                <w:sz w:val="28"/>
              </w:rPr>
              <w:t>。</w:t>
            </w:r>
          </w:p>
        </w:tc>
      </w:tr>
      <w:tr w:rsidR="00F3035F" w:rsidTr="002B09D5">
        <w:trPr>
          <w:trHeight w:val="680"/>
        </w:trPr>
        <w:tc>
          <w:tcPr>
            <w:tcW w:w="2059" w:type="pct"/>
            <w:tcBorders>
              <w:top w:val="single" w:sz="4" w:space="0" w:color="auto"/>
              <w:right w:val="single" w:sz="4" w:space="0" w:color="auto"/>
            </w:tcBorders>
          </w:tcPr>
          <w:p w:rsidR="00F3035F" w:rsidRPr="00F3035F" w:rsidRDefault="00F3035F" w:rsidP="00F964EF">
            <w:pPr>
              <w:spacing w:line="440" w:lineRule="exact"/>
              <w:jc w:val="both"/>
              <w:rPr>
                <w:rFonts w:ascii="標楷體" w:eastAsia="標楷體" w:hAnsi="標楷體"/>
                <w:b/>
                <w:sz w:val="28"/>
              </w:rPr>
            </w:pPr>
            <w:r w:rsidRPr="00F3035F">
              <w:rPr>
                <w:rFonts w:ascii="標楷體" w:eastAsia="標楷體" w:hAnsi="標楷體" w:hint="eastAsia"/>
                <w:b/>
                <w:sz w:val="28"/>
              </w:rPr>
              <w:lastRenderedPageBreak/>
              <w:t>附則第2點</w:t>
            </w:r>
          </w:p>
          <w:p w:rsidR="00F3035F" w:rsidRPr="00F964EF" w:rsidRDefault="00F3035F" w:rsidP="00F964EF">
            <w:pPr>
              <w:spacing w:line="440" w:lineRule="exact"/>
              <w:jc w:val="both"/>
              <w:rPr>
                <w:rFonts w:ascii="標楷體" w:eastAsia="標楷體" w:hAnsi="標楷體"/>
                <w:sz w:val="28"/>
              </w:rPr>
            </w:pPr>
            <w:r w:rsidRPr="00F964EF">
              <w:rPr>
                <w:rFonts w:ascii="標楷體" w:eastAsia="標楷體" w:hAnsi="標楷體" w:cs="新細明體" w:hint="eastAsia"/>
                <w:kern w:val="0"/>
                <w:sz w:val="28"/>
                <w:szCs w:val="24"/>
              </w:rPr>
              <w:t>各工程實際提撥之工程獎金總額不得超逾本表規定之提撥上限。但依「中央政府各工程機關員工工程獎金發給要點」、原「臺灣省政府所屬工程機關員工工程獎金發給要點」、「臺北市政府所屬工程機關員工工程效率獎金發給要點」及「高雄市政府所屬工程機關員工工程效率獎金發給要點」規定提撥工程獎金有案人員，於調任其他機關（單位）前，仍得依原規定提撥，不受本表提撥上限及</w:t>
            </w:r>
            <w:r w:rsidRPr="00F964EF">
              <w:rPr>
                <w:rFonts w:ascii="標楷體" w:eastAsia="標楷體" w:hAnsi="標楷體" w:cs="新細明體" w:hint="eastAsia"/>
                <w:kern w:val="0"/>
                <w:sz w:val="28"/>
                <w:szCs w:val="24"/>
              </w:rPr>
              <w:lastRenderedPageBreak/>
              <w:t>各工程實際提撥額度限制。</w:t>
            </w:r>
          </w:p>
        </w:tc>
        <w:tc>
          <w:tcPr>
            <w:tcW w:w="2941" w:type="pct"/>
            <w:tcBorders>
              <w:left w:val="single" w:sz="4" w:space="0" w:color="auto"/>
              <w:right w:val="single" w:sz="4" w:space="0" w:color="auto"/>
            </w:tcBorders>
          </w:tcPr>
          <w:p w:rsidR="00F3035F" w:rsidRPr="00580FA9" w:rsidRDefault="002545FE" w:rsidP="004056B1">
            <w:pPr>
              <w:spacing w:line="440" w:lineRule="exact"/>
              <w:jc w:val="both"/>
              <w:rPr>
                <w:rFonts w:ascii="標楷體" w:eastAsia="標楷體" w:hAnsi="標楷體"/>
                <w:color w:val="000000"/>
                <w:sz w:val="28"/>
              </w:rPr>
            </w:pPr>
            <w:r>
              <w:rPr>
                <w:rFonts w:ascii="標楷體" w:eastAsia="標楷體" w:hAnsi="標楷體" w:hint="eastAsia"/>
                <w:color w:val="000000"/>
                <w:sz w:val="28"/>
              </w:rPr>
              <w:lastRenderedPageBreak/>
              <w:t>原適用左列規定人員，</w:t>
            </w:r>
            <w:r w:rsidR="00581269" w:rsidRPr="00581269">
              <w:rPr>
                <w:rFonts w:ascii="標楷體" w:eastAsia="標楷體" w:hAnsi="標楷體" w:hint="eastAsia"/>
                <w:color w:val="000000"/>
                <w:sz w:val="28"/>
              </w:rPr>
              <w:t>因機關裁併移撥他機關</w:t>
            </w:r>
            <w:r>
              <w:rPr>
                <w:rFonts w:ascii="標楷體" w:eastAsia="標楷體" w:hAnsi="標楷體" w:hint="eastAsia"/>
                <w:color w:val="000000"/>
                <w:sz w:val="28"/>
              </w:rPr>
              <w:t>(如某市公園路燈管理所裁撤</w:t>
            </w:r>
            <w:r w:rsidR="00275E06">
              <w:rPr>
                <w:rFonts w:ascii="標楷體" w:eastAsia="標楷體" w:hAnsi="標楷體" w:hint="eastAsia"/>
                <w:color w:val="000000"/>
                <w:sz w:val="28"/>
              </w:rPr>
              <w:t>後</w:t>
            </w:r>
            <w:r>
              <w:rPr>
                <w:rFonts w:ascii="標楷體" w:eastAsia="標楷體" w:hAnsi="標楷體" w:hint="eastAsia"/>
                <w:color w:val="000000"/>
                <w:sz w:val="28"/>
              </w:rPr>
              <w:t>，移撥該府觀光局)或於</w:t>
            </w:r>
            <w:r w:rsidR="00581269" w:rsidRPr="00581269">
              <w:rPr>
                <w:rFonts w:ascii="標楷體" w:eastAsia="標楷體" w:hAnsi="標楷體" w:cs="新細明體" w:hint="eastAsia"/>
                <w:kern w:val="0"/>
                <w:sz w:val="28"/>
                <w:szCs w:val="24"/>
              </w:rPr>
              <w:t>同一</w:t>
            </w:r>
            <w:r w:rsidR="00581269" w:rsidRPr="00581269">
              <w:rPr>
                <w:rFonts w:ascii="標楷體" w:eastAsia="標楷體" w:hAnsi="標楷體" w:hint="eastAsia"/>
                <w:color w:val="000000"/>
                <w:sz w:val="28"/>
              </w:rPr>
              <w:t>機關（單位）內調動</w:t>
            </w:r>
            <w:r>
              <w:rPr>
                <w:rFonts w:ascii="標楷體" w:eastAsia="標楷體" w:hAnsi="標楷體" w:hint="eastAsia"/>
                <w:color w:val="000000"/>
                <w:sz w:val="28"/>
              </w:rPr>
              <w:t>(</w:t>
            </w:r>
            <w:r w:rsidR="00581269" w:rsidRPr="00581269">
              <w:rPr>
                <w:rFonts w:ascii="標楷體" w:eastAsia="標楷體" w:hAnsi="標楷體" w:hint="eastAsia"/>
                <w:color w:val="000000"/>
                <w:sz w:val="28"/>
              </w:rPr>
              <w:t>如</w:t>
            </w:r>
            <w:r w:rsidR="00275E06">
              <w:rPr>
                <w:rFonts w:ascii="標楷體" w:eastAsia="標楷體" w:hAnsi="標楷體" w:hint="eastAsia"/>
                <w:color w:val="000000"/>
                <w:sz w:val="28"/>
              </w:rPr>
              <w:t>由</w:t>
            </w:r>
            <w:r w:rsidR="00581269" w:rsidRPr="00581269">
              <w:rPr>
                <w:rFonts w:ascii="標楷體" w:eastAsia="標楷體" w:hAnsi="標楷體" w:hint="eastAsia"/>
                <w:color w:val="000000"/>
                <w:sz w:val="28"/>
              </w:rPr>
              <w:t>某縣政府工務局土木科調至水利科</w:t>
            </w:r>
            <w:r>
              <w:rPr>
                <w:rFonts w:ascii="標楷體" w:eastAsia="標楷體" w:hAnsi="標楷體" w:hint="eastAsia"/>
                <w:color w:val="000000"/>
                <w:sz w:val="28"/>
              </w:rPr>
              <w:t>)</w:t>
            </w:r>
            <w:r w:rsidR="00580FA9" w:rsidRPr="00FB49AE">
              <w:rPr>
                <w:rFonts w:ascii="標楷體" w:eastAsia="標楷體" w:hAnsi="標楷體" w:hint="eastAsia"/>
                <w:color w:val="000000"/>
                <w:sz w:val="28"/>
              </w:rPr>
              <w:t>得</w:t>
            </w:r>
            <w:r>
              <w:rPr>
                <w:rFonts w:ascii="標楷體" w:eastAsia="標楷體" w:hAnsi="標楷體" w:hint="eastAsia"/>
                <w:color w:val="000000"/>
                <w:sz w:val="28"/>
              </w:rPr>
              <w:t>繼續</w:t>
            </w:r>
            <w:r w:rsidR="00580FA9" w:rsidRPr="00FB49AE">
              <w:rPr>
                <w:rFonts w:ascii="標楷體" w:eastAsia="標楷體" w:hAnsi="標楷體" w:hint="eastAsia"/>
                <w:color w:val="000000"/>
                <w:sz w:val="28"/>
              </w:rPr>
              <w:t>依</w:t>
            </w:r>
            <w:r>
              <w:rPr>
                <w:rFonts w:ascii="標楷體" w:eastAsia="標楷體" w:hAnsi="標楷體" w:cs="新細明體" w:hint="eastAsia"/>
                <w:kern w:val="0"/>
                <w:sz w:val="28"/>
                <w:szCs w:val="24"/>
              </w:rPr>
              <w:t>左列</w:t>
            </w:r>
            <w:r w:rsidR="00580FA9" w:rsidRPr="00FB49AE">
              <w:rPr>
                <w:rFonts w:ascii="標楷體" w:eastAsia="標楷體" w:hAnsi="標楷體" w:cs="新細明體" w:hint="eastAsia"/>
                <w:kern w:val="0"/>
                <w:sz w:val="28"/>
                <w:szCs w:val="24"/>
              </w:rPr>
              <w:t>規定</w:t>
            </w:r>
            <w:r w:rsidR="00580FA9" w:rsidRPr="00FB49AE">
              <w:rPr>
                <w:rFonts w:ascii="標楷體" w:eastAsia="標楷體" w:hAnsi="標楷體" w:hint="eastAsia"/>
                <w:color w:val="000000"/>
                <w:sz w:val="28"/>
              </w:rPr>
              <w:t>提撥工程獎金經費額度</w:t>
            </w:r>
            <w:r w:rsidR="00F3035F" w:rsidRPr="00581269">
              <w:rPr>
                <w:rFonts w:ascii="標楷體" w:eastAsia="標楷體" w:hAnsi="標楷體" w:hint="eastAsia"/>
                <w:color w:val="000000"/>
                <w:sz w:val="28"/>
              </w:rPr>
              <w:t>。</w:t>
            </w:r>
          </w:p>
        </w:tc>
      </w:tr>
      <w:tr w:rsidR="00F3035F" w:rsidTr="002B09D5">
        <w:trPr>
          <w:trHeight w:val="680"/>
        </w:trPr>
        <w:tc>
          <w:tcPr>
            <w:tcW w:w="2059" w:type="pct"/>
            <w:tcBorders>
              <w:top w:val="single" w:sz="4" w:space="0" w:color="auto"/>
              <w:bottom w:val="single" w:sz="4" w:space="0" w:color="auto"/>
              <w:right w:val="single" w:sz="4" w:space="0" w:color="auto"/>
            </w:tcBorders>
          </w:tcPr>
          <w:p w:rsidR="00F3035F" w:rsidRPr="00F3035F" w:rsidRDefault="00F3035F" w:rsidP="00F964EF">
            <w:pPr>
              <w:spacing w:line="440" w:lineRule="exact"/>
              <w:jc w:val="both"/>
              <w:rPr>
                <w:rFonts w:ascii="標楷體" w:eastAsia="標楷體" w:hAnsi="標楷體"/>
                <w:b/>
                <w:color w:val="000000"/>
                <w:sz w:val="28"/>
              </w:rPr>
            </w:pPr>
            <w:r w:rsidRPr="00F3035F">
              <w:rPr>
                <w:rFonts w:ascii="標楷體" w:eastAsia="標楷體" w:hAnsi="標楷體" w:hint="eastAsia"/>
                <w:b/>
                <w:color w:val="000000"/>
                <w:sz w:val="28"/>
              </w:rPr>
              <w:lastRenderedPageBreak/>
              <w:t>附則第3點</w:t>
            </w:r>
          </w:p>
          <w:p w:rsidR="00F3035F" w:rsidRPr="00F964EF" w:rsidRDefault="00F3035F" w:rsidP="00F964EF">
            <w:pPr>
              <w:spacing w:line="440" w:lineRule="exact"/>
              <w:jc w:val="both"/>
              <w:rPr>
                <w:rFonts w:ascii="標楷體" w:eastAsia="標楷體" w:hAnsi="標楷體"/>
                <w:color w:val="000000"/>
                <w:sz w:val="28"/>
              </w:rPr>
            </w:pPr>
            <w:r w:rsidRPr="00F964EF">
              <w:rPr>
                <w:rFonts w:ascii="標楷體" w:eastAsia="標楷體" w:hAnsi="標楷體" w:cs="新細明體" w:hint="eastAsia"/>
                <w:kern w:val="0"/>
                <w:sz w:val="28"/>
                <w:szCs w:val="24"/>
              </w:rPr>
              <w:t>本表所稱全年度預算執行率，指各工程實際支付數及應付未付數之合計數占該工程全年度可支用預算數之比例。</w:t>
            </w:r>
          </w:p>
        </w:tc>
        <w:tc>
          <w:tcPr>
            <w:tcW w:w="2941" w:type="pct"/>
            <w:tcBorders>
              <w:left w:val="single" w:sz="4" w:space="0" w:color="auto"/>
              <w:right w:val="single" w:sz="4" w:space="0" w:color="auto"/>
            </w:tcBorders>
          </w:tcPr>
          <w:p w:rsidR="004B4AFD" w:rsidRPr="004B4AFD" w:rsidRDefault="002545FE" w:rsidP="00313C39">
            <w:pPr>
              <w:spacing w:line="440" w:lineRule="exact"/>
              <w:jc w:val="both"/>
              <w:rPr>
                <w:rFonts w:ascii="標楷體" w:eastAsia="標楷體" w:hAnsi="標楷體"/>
                <w:color w:val="000000"/>
                <w:sz w:val="28"/>
              </w:rPr>
            </w:pPr>
            <w:r>
              <w:rPr>
                <w:rFonts w:ascii="標楷體" w:eastAsia="標楷體" w:hAnsi="標楷體" w:hint="eastAsia"/>
                <w:sz w:val="28"/>
              </w:rPr>
              <w:t>「工程獎金</w:t>
            </w:r>
            <w:r w:rsidRPr="00F964EF">
              <w:rPr>
                <w:rFonts w:ascii="標楷體" w:eastAsia="標楷體" w:hAnsi="標楷體" w:hint="eastAsia"/>
                <w:sz w:val="28"/>
              </w:rPr>
              <w:t>支給表</w:t>
            </w:r>
            <w:r>
              <w:rPr>
                <w:rFonts w:ascii="標楷體" w:eastAsia="標楷體" w:hAnsi="標楷體" w:hint="eastAsia"/>
                <w:sz w:val="28"/>
              </w:rPr>
              <w:t>」</w:t>
            </w:r>
            <w:r w:rsidR="00F3035F" w:rsidRPr="004B4AFD">
              <w:rPr>
                <w:rFonts w:ascii="標楷體" w:eastAsia="標楷體" w:hAnsi="標楷體" w:cs="新細明體" w:hint="eastAsia"/>
                <w:kern w:val="0"/>
                <w:sz w:val="28"/>
                <w:szCs w:val="24"/>
              </w:rPr>
              <w:t>所稱全年度預算執行率，指</w:t>
            </w:r>
            <w:r w:rsidR="00F3035F" w:rsidRPr="004B4AFD">
              <w:rPr>
                <w:rFonts w:ascii="標楷體" w:eastAsia="標楷體" w:hAnsi="標楷體" w:hint="eastAsia"/>
                <w:color w:val="000000"/>
                <w:sz w:val="28"/>
              </w:rPr>
              <w:t>當年度所辦理各項工程計畫（含跨年度之工程、或年度中始由中央撥補預算之工程）之全年度預算執行率，其計算標準為各工程「經費實際支用數」及「應付未付數（已估驗未付款）」等2</w:t>
            </w:r>
            <w:r w:rsidR="00275E06">
              <w:rPr>
                <w:rFonts w:ascii="標楷體" w:eastAsia="標楷體" w:hAnsi="標楷體" w:hint="eastAsia"/>
                <w:color w:val="000000"/>
                <w:sz w:val="28"/>
              </w:rPr>
              <w:t>項合計之執行總數，</w:t>
            </w:r>
            <w:r w:rsidR="00F3035F" w:rsidRPr="004B4AFD">
              <w:rPr>
                <w:rFonts w:ascii="標楷體" w:eastAsia="標楷體" w:hAnsi="標楷體" w:hint="eastAsia"/>
                <w:color w:val="000000"/>
                <w:sz w:val="28"/>
              </w:rPr>
              <w:t>占該工程全年度可支用預算數（含以前年度保留數及當年度法定預算數）之比率。</w:t>
            </w:r>
          </w:p>
        </w:tc>
      </w:tr>
      <w:tr w:rsidR="00F3035F" w:rsidTr="002B09D5">
        <w:trPr>
          <w:trHeight w:val="680"/>
        </w:trPr>
        <w:tc>
          <w:tcPr>
            <w:tcW w:w="2059" w:type="pct"/>
            <w:tcBorders>
              <w:top w:val="single" w:sz="4" w:space="0" w:color="auto"/>
              <w:bottom w:val="single" w:sz="4" w:space="0" w:color="auto"/>
              <w:right w:val="single" w:sz="4" w:space="0" w:color="auto"/>
            </w:tcBorders>
          </w:tcPr>
          <w:p w:rsidR="00F3035F" w:rsidRPr="00F3035F" w:rsidRDefault="00F3035F" w:rsidP="00F964EF">
            <w:pPr>
              <w:spacing w:line="440" w:lineRule="exact"/>
              <w:jc w:val="both"/>
              <w:rPr>
                <w:rFonts w:ascii="標楷體" w:eastAsia="標楷體" w:hAnsi="標楷體" w:cs="新細明體"/>
                <w:b/>
                <w:color w:val="000000"/>
                <w:sz w:val="28"/>
                <w:szCs w:val="24"/>
              </w:rPr>
            </w:pPr>
            <w:r w:rsidRPr="00F3035F">
              <w:rPr>
                <w:rFonts w:ascii="標楷體" w:eastAsia="標楷體" w:hAnsi="標楷體" w:cs="新細明體" w:hint="eastAsia"/>
                <w:b/>
                <w:color w:val="000000"/>
                <w:sz w:val="28"/>
                <w:szCs w:val="24"/>
              </w:rPr>
              <w:t>附則第4點</w:t>
            </w:r>
          </w:p>
          <w:p w:rsidR="00F3035F" w:rsidRPr="00F964EF" w:rsidRDefault="00F3035F" w:rsidP="00F964EF">
            <w:pPr>
              <w:spacing w:line="440" w:lineRule="exact"/>
              <w:jc w:val="both"/>
              <w:rPr>
                <w:rFonts w:ascii="標楷體" w:eastAsia="標楷體" w:hAnsi="標楷體" w:cs="新細明體"/>
                <w:color w:val="000000"/>
                <w:sz w:val="28"/>
                <w:szCs w:val="24"/>
              </w:rPr>
            </w:pPr>
            <w:r w:rsidRPr="00F964EF">
              <w:rPr>
                <w:rFonts w:ascii="標楷體" w:eastAsia="標楷體" w:hAnsi="標楷體" w:cs="新細明體" w:hint="eastAsia"/>
                <w:kern w:val="0"/>
                <w:sz w:val="28"/>
                <w:szCs w:val="24"/>
              </w:rPr>
              <w:t>各機關應成立績效評估會，依績效評核原則及客觀、量化之具體績效指標，評估單位或個人之貢獻程度及工作績效，區分適當等第發給績效獎金，不得平均或輪流分配。本表所稱單位績效獎金，指各機關依其內部一級單位之績效評核結果，分等第發給單位之績效獎金；個人績效獎金指機關首長依所屬員工之特殊績效，即時發給個人之績效獎金。當年度未核發之個人績效獎金餘額可流為單位績效獎金。</w:t>
            </w:r>
          </w:p>
        </w:tc>
        <w:tc>
          <w:tcPr>
            <w:tcW w:w="2941" w:type="pct"/>
            <w:tcBorders>
              <w:left w:val="single" w:sz="4" w:space="0" w:color="auto"/>
              <w:right w:val="single" w:sz="4" w:space="0" w:color="auto"/>
            </w:tcBorders>
          </w:tcPr>
          <w:p w:rsidR="00F3035F" w:rsidRPr="00F964EF" w:rsidRDefault="00F3035F" w:rsidP="00F3035F">
            <w:pPr>
              <w:pStyle w:val="ab"/>
              <w:numPr>
                <w:ilvl w:val="0"/>
                <w:numId w:val="10"/>
              </w:numPr>
              <w:spacing w:line="440" w:lineRule="exact"/>
              <w:ind w:leftChars="0"/>
              <w:jc w:val="both"/>
              <w:rPr>
                <w:rFonts w:ascii="標楷體" w:eastAsia="標楷體" w:hAnsi="標楷體"/>
                <w:sz w:val="28"/>
              </w:rPr>
            </w:pPr>
            <w:r w:rsidRPr="00F964EF">
              <w:rPr>
                <w:rFonts w:ascii="標楷體" w:eastAsia="標楷體" w:hAnsi="標楷體" w:hint="eastAsia"/>
                <w:color w:val="000000"/>
                <w:sz w:val="28"/>
              </w:rPr>
              <w:t>機關如僅將一單位納入工程獎金適用對象，仍應訂定單位績效獎金之發給規定，並依該單位績效目標評核結果所得等第發給單位績效獎金。</w:t>
            </w:r>
          </w:p>
          <w:p w:rsidR="00F3035F" w:rsidRPr="00F964EF" w:rsidRDefault="00F3035F" w:rsidP="00313C39">
            <w:pPr>
              <w:pStyle w:val="ab"/>
              <w:numPr>
                <w:ilvl w:val="0"/>
                <w:numId w:val="10"/>
              </w:numPr>
              <w:spacing w:line="440" w:lineRule="exact"/>
              <w:ind w:leftChars="0"/>
              <w:jc w:val="both"/>
              <w:rPr>
                <w:rFonts w:ascii="標楷體" w:eastAsia="標楷體" w:hAnsi="標楷體"/>
                <w:sz w:val="28"/>
              </w:rPr>
            </w:pPr>
            <w:r w:rsidRPr="00F964EF">
              <w:rPr>
                <w:rFonts w:ascii="標楷體" w:eastAsia="標楷體" w:hAnsi="標楷體" w:hint="eastAsia"/>
                <w:color w:val="000000"/>
                <w:sz w:val="28"/>
              </w:rPr>
              <w:t>工程獎金如因績效評核結果致無法發放，不得保留至次年度作為發放工程獎金</w:t>
            </w:r>
            <w:r w:rsidR="00876A75">
              <w:rPr>
                <w:rFonts w:ascii="標楷體" w:eastAsia="標楷體" w:hAnsi="標楷體" w:hint="eastAsia"/>
                <w:color w:val="000000"/>
                <w:sz w:val="28"/>
              </w:rPr>
              <w:t>之用</w:t>
            </w:r>
            <w:r w:rsidRPr="00F964EF">
              <w:rPr>
                <w:rFonts w:ascii="標楷體" w:eastAsia="標楷體" w:hAnsi="標楷體" w:hint="eastAsia"/>
                <w:color w:val="000000"/>
                <w:sz w:val="28"/>
              </w:rPr>
              <w:t>。</w:t>
            </w:r>
          </w:p>
        </w:tc>
      </w:tr>
      <w:tr w:rsidR="00581269" w:rsidTr="002B09D5">
        <w:trPr>
          <w:trHeight w:val="680"/>
        </w:trPr>
        <w:tc>
          <w:tcPr>
            <w:tcW w:w="2059" w:type="pct"/>
            <w:tcBorders>
              <w:top w:val="single" w:sz="4" w:space="0" w:color="auto"/>
              <w:bottom w:val="single" w:sz="4" w:space="0" w:color="auto"/>
              <w:right w:val="single" w:sz="4" w:space="0" w:color="auto"/>
            </w:tcBorders>
          </w:tcPr>
          <w:p w:rsidR="00581269" w:rsidRPr="00581269" w:rsidRDefault="00581269" w:rsidP="00F964EF">
            <w:pPr>
              <w:spacing w:line="440" w:lineRule="exact"/>
              <w:jc w:val="both"/>
              <w:rPr>
                <w:rFonts w:ascii="標楷體" w:eastAsia="標楷體" w:hAnsi="標楷體" w:cs="新細明體"/>
                <w:b/>
                <w:color w:val="000000"/>
                <w:sz w:val="28"/>
                <w:szCs w:val="24"/>
              </w:rPr>
            </w:pPr>
            <w:r w:rsidRPr="00F3035F">
              <w:rPr>
                <w:rFonts w:ascii="標楷體" w:eastAsia="標楷體" w:hAnsi="標楷體" w:cs="新細明體" w:hint="eastAsia"/>
                <w:b/>
                <w:color w:val="000000"/>
                <w:sz w:val="28"/>
                <w:szCs w:val="24"/>
              </w:rPr>
              <w:t>附則第</w:t>
            </w:r>
            <w:r>
              <w:rPr>
                <w:rFonts w:ascii="標楷體" w:eastAsia="標楷體" w:hAnsi="標楷體" w:cs="新細明體" w:hint="eastAsia"/>
                <w:b/>
                <w:color w:val="000000"/>
                <w:sz w:val="28"/>
                <w:szCs w:val="24"/>
              </w:rPr>
              <w:t>7</w:t>
            </w:r>
            <w:r w:rsidRPr="00F3035F">
              <w:rPr>
                <w:rFonts w:ascii="標楷體" w:eastAsia="標楷體" w:hAnsi="標楷體" w:cs="新細明體" w:hint="eastAsia"/>
                <w:b/>
                <w:color w:val="000000"/>
                <w:sz w:val="28"/>
                <w:szCs w:val="24"/>
              </w:rPr>
              <w:t>點</w:t>
            </w:r>
          </w:p>
          <w:p w:rsidR="00581269" w:rsidRPr="00F3035F" w:rsidRDefault="00581269" w:rsidP="00F964EF">
            <w:pPr>
              <w:spacing w:line="440" w:lineRule="exact"/>
              <w:jc w:val="both"/>
              <w:rPr>
                <w:rFonts w:ascii="標楷體" w:eastAsia="標楷體" w:hAnsi="標楷體" w:cs="新細明體"/>
                <w:b/>
                <w:color w:val="000000"/>
                <w:sz w:val="28"/>
                <w:szCs w:val="24"/>
              </w:rPr>
            </w:pPr>
            <w:r w:rsidRPr="00581269">
              <w:rPr>
                <w:rFonts w:ascii="標楷體" w:eastAsia="標楷體" w:hAnsi="標楷體" w:cs="新細明體" w:hint="eastAsia"/>
                <w:kern w:val="0"/>
                <w:sz w:val="28"/>
                <w:szCs w:val="24"/>
              </w:rPr>
              <w:t>適用「中央政府各工程機關</w:t>
            </w:r>
            <w:r w:rsidRPr="00581269">
              <w:rPr>
                <w:rFonts w:ascii="標楷體" w:eastAsia="標楷體" w:hAnsi="標楷體" w:cs="新細明體" w:hint="eastAsia"/>
                <w:kern w:val="0"/>
                <w:sz w:val="28"/>
                <w:szCs w:val="24"/>
              </w:rPr>
              <w:lastRenderedPageBreak/>
              <w:t>員工工程獎金發給要點」且尚未完成組織調整之機關，於組織調整生效前，其工程獎金支給仍得依上開發給要點規定辦理，並自組織業務調整生效日次年1月1日起改依本表規定辦理。</w:t>
            </w:r>
          </w:p>
        </w:tc>
        <w:tc>
          <w:tcPr>
            <w:tcW w:w="2941" w:type="pct"/>
            <w:tcBorders>
              <w:left w:val="single" w:sz="4" w:space="0" w:color="auto"/>
              <w:right w:val="single" w:sz="4" w:space="0" w:color="auto"/>
            </w:tcBorders>
          </w:tcPr>
          <w:p w:rsidR="00581269" w:rsidRPr="00581269" w:rsidRDefault="002545FE" w:rsidP="00275E06">
            <w:pPr>
              <w:spacing w:line="440" w:lineRule="exact"/>
              <w:jc w:val="both"/>
              <w:rPr>
                <w:rFonts w:ascii="標楷體" w:eastAsia="標楷體" w:hAnsi="標楷體"/>
                <w:color w:val="000000"/>
                <w:sz w:val="28"/>
              </w:rPr>
            </w:pPr>
            <w:r>
              <w:rPr>
                <w:rFonts w:ascii="標楷體" w:eastAsia="標楷體" w:hAnsi="標楷體" w:cs="新細明體" w:hint="eastAsia"/>
                <w:kern w:val="0"/>
                <w:sz w:val="28"/>
                <w:szCs w:val="24"/>
              </w:rPr>
              <w:lastRenderedPageBreak/>
              <w:t>目前</w:t>
            </w:r>
            <w:r w:rsidR="00581269" w:rsidRPr="00581269">
              <w:rPr>
                <w:rFonts w:ascii="標楷體" w:eastAsia="標楷體" w:hAnsi="標楷體" w:cs="新細明體" w:hint="eastAsia"/>
                <w:kern w:val="0"/>
                <w:sz w:val="28"/>
                <w:szCs w:val="24"/>
              </w:rPr>
              <w:t>適用「中央政府各工程機關員工工程獎金發給要點」之機關，</w:t>
            </w:r>
            <w:r w:rsidR="00581269">
              <w:rPr>
                <w:rFonts w:ascii="標楷體" w:eastAsia="標楷體" w:hAnsi="標楷體" w:cs="新細明體" w:hint="eastAsia"/>
                <w:kern w:val="0"/>
                <w:sz w:val="28"/>
                <w:szCs w:val="24"/>
              </w:rPr>
              <w:t>於</w:t>
            </w:r>
            <w:r w:rsidR="00581269" w:rsidRPr="00581269">
              <w:rPr>
                <w:rFonts w:ascii="標楷體" w:eastAsia="標楷體" w:hAnsi="標楷體" w:cs="新細明體" w:hint="eastAsia"/>
                <w:kern w:val="0"/>
                <w:sz w:val="28"/>
                <w:szCs w:val="24"/>
              </w:rPr>
              <w:t>組織業</w:t>
            </w:r>
            <w:r w:rsidR="00580FA9">
              <w:rPr>
                <w:rFonts w:ascii="標楷體" w:eastAsia="標楷體" w:hAnsi="標楷體" w:cs="新細明體" w:hint="eastAsia"/>
                <w:kern w:val="0"/>
                <w:sz w:val="28"/>
                <w:szCs w:val="24"/>
              </w:rPr>
              <w:t>務</w:t>
            </w:r>
            <w:r w:rsidR="00580FA9">
              <w:rPr>
                <w:rFonts w:ascii="標楷體" w:eastAsia="標楷體" w:hAnsi="標楷體" w:cs="新細明體" w:hint="eastAsia"/>
                <w:kern w:val="0"/>
                <w:sz w:val="28"/>
                <w:szCs w:val="24"/>
              </w:rPr>
              <w:lastRenderedPageBreak/>
              <w:t>調整生效日</w:t>
            </w:r>
            <w:r w:rsidR="00581269" w:rsidRPr="00581269">
              <w:rPr>
                <w:rFonts w:ascii="標楷體" w:eastAsia="標楷體" w:hAnsi="標楷體" w:cs="新細明體" w:hint="eastAsia"/>
                <w:kern w:val="0"/>
                <w:sz w:val="28"/>
                <w:szCs w:val="24"/>
              </w:rPr>
              <w:t>至同年12月31</w:t>
            </w:r>
            <w:r w:rsidR="00581269">
              <w:rPr>
                <w:rFonts w:ascii="標楷體" w:eastAsia="標楷體" w:hAnsi="標楷體" w:cs="新細明體" w:hint="eastAsia"/>
                <w:kern w:val="0"/>
                <w:sz w:val="28"/>
                <w:szCs w:val="24"/>
              </w:rPr>
              <w:t>日期間，</w:t>
            </w:r>
            <w:r w:rsidR="00581269" w:rsidRPr="00581269">
              <w:rPr>
                <w:rFonts w:ascii="標楷體" w:eastAsia="標楷體" w:hAnsi="標楷體" w:cs="新細明體" w:hint="eastAsia"/>
                <w:kern w:val="0"/>
                <w:sz w:val="28"/>
                <w:szCs w:val="24"/>
              </w:rPr>
              <w:t>其工程獎金支給</w:t>
            </w:r>
            <w:r w:rsidR="00275E06">
              <w:rPr>
                <w:rFonts w:ascii="標楷體" w:eastAsia="標楷體" w:hAnsi="標楷體" w:cs="新細明體" w:hint="eastAsia"/>
                <w:kern w:val="0"/>
                <w:sz w:val="28"/>
                <w:szCs w:val="24"/>
              </w:rPr>
              <w:t>仍</w:t>
            </w:r>
            <w:r w:rsidR="00581269" w:rsidRPr="00581269">
              <w:rPr>
                <w:rFonts w:ascii="標楷體" w:eastAsia="標楷體" w:hAnsi="標楷體" w:cs="新細明體" w:hint="eastAsia"/>
                <w:kern w:val="0"/>
                <w:sz w:val="28"/>
                <w:szCs w:val="24"/>
              </w:rPr>
              <w:t>得依「中央政府各工程機關員工工程獎金發給要點」規定辦理。</w:t>
            </w:r>
          </w:p>
        </w:tc>
      </w:tr>
    </w:tbl>
    <w:p w:rsidR="00503581" w:rsidRPr="00B36642" w:rsidRDefault="00503581" w:rsidP="00217A59">
      <w:pPr>
        <w:ind w:rightChars="-118" w:right="-283"/>
        <w:rPr>
          <w:rFonts w:ascii="標楷體" w:eastAsia="標楷體" w:hAnsi="標楷體"/>
          <w:color w:val="000000"/>
        </w:rPr>
      </w:pPr>
    </w:p>
    <w:sectPr w:rsidR="00503581" w:rsidRPr="00B36642" w:rsidSect="00056884">
      <w:footerReference w:type="default" r:id="rId8"/>
      <w:pgSz w:w="11906" w:h="16838"/>
      <w:pgMar w:top="1440" w:right="1800" w:bottom="1134" w:left="1800" w:header="851" w:footer="104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494" w:rsidRDefault="000B5494" w:rsidP="004F5512">
      <w:r>
        <w:separator/>
      </w:r>
    </w:p>
  </w:endnote>
  <w:endnote w:type="continuationSeparator" w:id="0">
    <w:p w:rsidR="000B5494" w:rsidRDefault="000B5494" w:rsidP="004F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572121"/>
      <w:docPartObj>
        <w:docPartGallery w:val="Page Numbers (Bottom of Page)"/>
        <w:docPartUnique/>
      </w:docPartObj>
    </w:sdtPr>
    <w:sdtEndPr/>
    <w:sdtContent>
      <w:p w:rsidR="000978A4" w:rsidRDefault="000978A4">
        <w:pPr>
          <w:pStyle w:val="a9"/>
          <w:jc w:val="center"/>
        </w:pPr>
        <w:r>
          <w:fldChar w:fldCharType="begin"/>
        </w:r>
        <w:r>
          <w:instrText>PAGE   \* MERGEFORMAT</w:instrText>
        </w:r>
        <w:r>
          <w:fldChar w:fldCharType="separate"/>
        </w:r>
        <w:r w:rsidR="007502FA" w:rsidRPr="007502FA">
          <w:rPr>
            <w:noProof/>
            <w:lang w:val="zh-TW"/>
          </w:rPr>
          <w:t>1</w:t>
        </w:r>
        <w:r>
          <w:fldChar w:fldCharType="end"/>
        </w:r>
      </w:p>
    </w:sdtContent>
  </w:sdt>
  <w:p w:rsidR="000978A4" w:rsidRDefault="000978A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494" w:rsidRDefault="000B5494" w:rsidP="004F5512">
      <w:r>
        <w:separator/>
      </w:r>
    </w:p>
  </w:footnote>
  <w:footnote w:type="continuationSeparator" w:id="0">
    <w:p w:rsidR="000B5494" w:rsidRDefault="000B5494" w:rsidP="004F5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650E"/>
    <w:multiLevelType w:val="hybridMultilevel"/>
    <w:tmpl w:val="689235C4"/>
    <w:lvl w:ilvl="0" w:tplc="8E7CB0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D278D6"/>
    <w:multiLevelType w:val="hybridMultilevel"/>
    <w:tmpl w:val="6B0C25C8"/>
    <w:lvl w:ilvl="0" w:tplc="B1FC9E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834AF1"/>
    <w:multiLevelType w:val="hybridMultilevel"/>
    <w:tmpl w:val="C0E49A3C"/>
    <w:lvl w:ilvl="0" w:tplc="02AA8E3A">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192274"/>
    <w:multiLevelType w:val="hybridMultilevel"/>
    <w:tmpl w:val="4FA6F80C"/>
    <w:lvl w:ilvl="0" w:tplc="4D8A341E">
      <w:start w:val="1"/>
      <w:numFmt w:val="decimal"/>
      <w:lvlText w:val="%1."/>
      <w:lvlJc w:val="left"/>
      <w:pPr>
        <w:ind w:left="360" w:hanging="360"/>
      </w:pPr>
      <w:rPr>
        <w:rFonts w:hint="default"/>
        <w:sz w:val="28"/>
      </w:rPr>
    </w:lvl>
    <w:lvl w:ilvl="1" w:tplc="9CEA6EB4">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FD69DF"/>
    <w:multiLevelType w:val="hybridMultilevel"/>
    <w:tmpl w:val="A23C71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5B2A77"/>
    <w:multiLevelType w:val="hybridMultilevel"/>
    <w:tmpl w:val="A9DE5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0B16F3"/>
    <w:multiLevelType w:val="hybridMultilevel"/>
    <w:tmpl w:val="A832193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4C49B5"/>
    <w:multiLevelType w:val="hybridMultilevel"/>
    <w:tmpl w:val="7444C734"/>
    <w:lvl w:ilvl="0" w:tplc="964C880C">
      <w:start w:val="1"/>
      <w:numFmt w:val="taiwaneseCountingThousand"/>
      <w:lvlText w:val="%1、"/>
      <w:lvlJc w:val="left"/>
      <w:pPr>
        <w:ind w:left="360" w:hanging="360"/>
      </w:pPr>
      <w:rPr>
        <w:rFonts w:hint="default"/>
      </w:rPr>
    </w:lvl>
    <w:lvl w:ilvl="1" w:tplc="BF72EF6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FC1F47"/>
    <w:multiLevelType w:val="hybridMultilevel"/>
    <w:tmpl w:val="410266B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F63E19"/>
    <w:multiLevelType w:val="hybridMultilevel"/>
    <w:tmpl w:val="034CD1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3365092"/>
    <w:multiLevelType w:val="hybridMultilevel"/>
    <w:tmpl w:val="5A20F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9E7183"/>
    <w:multiLevelType w:val="hybridMultilevel"/>
    <w:tmpl w:val="4F42ED08"/>
    <w:lvl w:ilvl="0" w:tplc="92F2C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E320A27"/>
    <w:multiLevelType w:val="hybridMultilevel"/>
    <w:tmpl w:val="B12207DA"/>
    <w:lvl w:ilvl="0" w:tplc="0178A8B4">
      <w:start w:val="1"/>
      <w:numFmt w:val="decimal"/>
      <w:lvlText w:val="%1."/>
      <w:lvlJc w:val="left"/>
      <w:pPr>
        <w:ind w:left="360" w:hanging="360"/>
      </w:pPr>
      <w:rPr>
        <w:rFonts w:cs="新細明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4"/>
  </w:num>
  <w:num w:numId="3">
    <w:abstractNumId w:val="6"/>
  </w:num>
  <w:num w:numId="4">
    <w:abstractNumId w:val="8"/>
  </w:num>
  <w:num w:numId="5">
    <w:abstractNumId w:val="11"/>
  </w:num>
  <w:num w:numId="6">
    <w:abstractNumId w:val="5"/>
  </w:num>
  <w:num w:numId="7">
    <w:abstractNumId w:val="7"/>
  </w:num>
  <w:num w:numId="8">
    <w:abstractNumId w:val="3"/>
  </w:num>
  <w:num w:numId="9">
    <w:abstractNumId w:val="1"/>
  </w:num>
  <w:num w:numId="10">
    <w:abstractNumId w:val="2"/>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69"/>
    <w:rsid w:val="000231D5"/>
    <w:rsid w:val="00047C3F"/>
    <w:rsid w:val="000548BE"/>
    <w:rsid w:val="00056884"/>
    <w:rsid w:val="00056E23"/>
    <w:rsid w:val="0006157D"/>
    <w:rsid w:val="000726A5"/>
    <w:rsid w:val="00072F59"/>
    <w:rsid w:val="00083A9A"/>
    <w:rsid w:val="00087D96"/>
    <w:rsid w:val="000978A4"/>
    <w:rsid w:val="000B5494"/>
    <w:rsid w:val="000C355C"/>
    <w:rsid w:val="0010039A"/>
    <w:rsid w:val="00121154"/>
    <w:rsid w:val="001374CB"/>
    <w:rsid w:val="0014308A"/>
    <w:rsid w:val="00145DB3"/>
    <w:rsid w:val="001517B8"/>
    <w:rsid w:val="0016017E"/>
    <w:rsid w:val="00163BAC"/>
    <w:rsid w:val="00164656"/>
    <w:rsid w:val="001719EE"/>
    <w:rsid w:val="001A6BD5"/>
    <w:rsid w:val="001C2642"/>
    <w:rsid w:val="001D7A40"/>
    <w:rsid w:val="0021361F"/>
    <w:rsid w:val="00217A59"/>
    <w:rsid w:val="0024342E"/>
    <w:rsid w:val="00250067"/>
    <w:rsid w:val="002545FE"/>
    <w:rsid w:val="00275E06"/>
    <w:rsid w:val="002B09D5"/>
    <w:rsid w:val="002B5153"/>
    <w:rsid w:val="002D29B9"/>
    <w:rsid w:val="002E6A92"/>
    <w:rsid w:val="0030006C"/>
    <w:rsid w:val="00313C39"/>
    <w:rsid w:val="0031633F"/>
    <w:rsid w:val="00345FDD"/>
    <w:rsid w:val="00380645"/>
    <w:rsid w:val="003C1D76"/>
    <w:rsid w:val="003D41C2"/>
    <w:rsid w:val="003F25F9"/>
    <w:rsid w:val="003F406A"/>
    <w:rsid w:val="004056B1"/>
    <w:rsid w:val="00417D55"/>
    <w:rsid w:val="0042266B"/>
    <w:rsid w:val="0043692B"/>
    <w:rsid w:val="00444749"/>
    <w:rsid w:val="0047013D"/>
    <w:rsid w:val="00474354"/>
    <w:rsid w:val="0048126A"/>
    <w:rsid w:val="004861D7"/>
    <w:rsid w:val="004907C7"/>
    <w:rsid w:val="00490FD8"/>
    <w:rsid w:val="004920A4"/>
    <w:rsid w:val="004972B0"/>
    <w:rsid w:val="004A3CFE"/>
    <w:rsid w:val="004B08CF"/>
    <w:rsid w:val="004B4AFD"/>
    <w:rsid w:val="004B7D44"/>
    <w:rsid w:val="004C1806"/>
    <w:rsid w:val="004D1547"/>
    <w:rsid w:val="004F04FF"/>
    <w:rsid w:val="004F1D3F"/>
    <w:rsid w:val="004F1DB8"/>
    <w:rsid w:val="004F5512"/>
    <w:rsid w:val="00503581"/>
    <w:rsid w:val="00530F21"/>
    <w:rsid w:val="00580FA9"/>
    <w:rsid w:val="00581269"/>
    <w:rsid w:val="0058381B"/>
    <w:rsid w:val="00585ED2"/>
    <w:rsid w:val="005A394E"/>
    <w:rsid w:val="005B5E3E"/>
    <w:rsid w:val="00626225"/>
    <w:rsid w:val="00646AF1"/>
    <w:rsid w:val="006506FC"/>
    <w:rsid w:val="00652B12"/>
    <w:rsid w:val="00654761"/>
    <w:rsid w:val="00656A2A"/>
    <w:rsid w:val="00660CDA"/>
    <w:rsid w:val="006A313C"/>
    <w:rsid w:val="006C5E1D"/>
    <w:rsid w:val="006E2A34"/>
    <w:rsid w:val="006F2AF9"/>
    <w:rsid w:val="006F3912"/>
    <w:rsid w:val="00733698"/>
    <w:rsid w:val="007502FA"/>
    <w:rsid w:val="007551BD"/>
    <w:rsid w:val="00755BD9"/>
    <w:rsid w:val="007B0248"/>
    <w:rsid w:val="007E670D"/>
    <w:rsid w:val="007F26CC"/>
    <w:rsid w:val="00800103"/>
    <w:rsid w:val="00822F55"/>
    <w:rsid w:val="00834C90"/>
    <w:rsid w:val="00837F7E"/>
    <w:rsid w:val="00847C85"/>
    <w:rsid w:val="0085692F"/>
    <w:rsid w:val="00872CA6"/>
    <w:rsid w:val="0087444E"/>
    <w:rsid w:val="00876A75"/>
    <w:rsid w:val="00890A6D"/>
    <w:rsid w:val="008B4DC3"/>
    <w:rsid w:val="008B70DB"/>
    <w:rsid w:val="008D599A"/>
    <w:rsid w:val="008E07E3"/>
    <w:rsid w:val="008E16DE"/>
    <w:rsid w:val="008E5A48"/>
    <w:rsid w:val="00904C6C"/>
    <w:rsid w:val="009053B2"/>
    <w:rsid w:val="00910C00"/>
    <w:rsid w:val="009113CB"/>
    <w:rsid w:val="009155AF"/>
    <w:rsid w:val="0093390F"/>
    <w:rsid w:val="00961331"/>
    <w:rsid w:val="0096548E"/>
    <w:rsid w:val="009669BE"/>
    <w:rsid w:val="00981863"/>
    <w:rsid w:val="00987E90"/>
    <w:rsid w:val="009921AB"/>
    <w:rsid w:val="009A5474"/>
    <w:rsid w:val="009B7856"/>
    <w:rsid w:val="009F2AD7"/>
    <w:rsid w:val="00A00C68"/>
    <w:rsid w:val="00A20169"/>
    <w:rsid w:val="00A407EB"/>
    <w:rsid w:val="00A62861"/>
    <w:rsid w:val="00A752EE"/>
    <w:rsid w:val="00A7613B"/>
    <w:rsid w:val="00A80EFB"/>
    <w:rsid w:val="00A91ACD"/>
    <w:rsid w:val="00A93C93"/>
    <w:rsid w:val="00A946E1"/>
    <w:rsid w:val="00AB2A9B"/>
    <w:rsid w:val="00AB67AA"/>
    <w:rsid w:val="00AC7DF9"/>
    <w:rsid w:val="00AD6771"/>
    <w:rsid w:val="00AE719F"/>
    <w:rsid w:val="00AF0300"/>
    <w:rsid w:val="00AF4EA9"/>
    <w:rsid w:val="00AF7B3E"/>
    <w:rsid w:val="00B21416"/>
    <w:rsid w:val="00B36642"/>
    <w:rsid w:val="00B402A5"/>
    <w:rsid w:val="00B419C7"/>
    <w:rsid w:val="00B67A68"/>
    <w:rsid w:val="00B969EA"/>
    <w:rsid w:val="00BB0ED4"/>
    <w:rsid w:val="00C22564"/>
    <w:rsid w:val="00C47614"/>
    <w:rsid w:val="00C538F6"/>
    <w:rsid w:val="00C60DD2"/>
    <w:rsid w:val="00C97887"/>
    <w:rsid w:val="00CB3C7A"/>
    <w:rsid w:val="00CC0AFC"/>
    <w:rsid w:val="00CE0DA2"/>
    <w:rsid w:val="00CE7CC3"/>
    <w:rsid w:val="00D106E2"/>
    <w:rsid w:val="00D179CA"/>
    <w:rsid w:val="00D26077"/>
    <w:rsid w:val="00D33B53"/>
    <w:rsid w:val="00D62879"/>
    <w:rsid w:val="00D70715"/>
    <w:rsid w:val="00D814DF"/>
    <w:rsid w:val="00D87B9D"/>
    <w:rsid w:val="00DA2515"/>
    <w:rsid w:val="00DB57B1"/>
    <w:rsid w:val="00DC7879"/>
    <w:rsid w:val="00DD661F"/>
    <w:rsid w:val="00DE70B2"/>
    <w:rsid w:val="00E1320C"/>
    <w:rsid w:val="00E13C35"/>
    <w:rsid w:val="00E21F56"/>
    <w:rsid w:val="00E4498B"/>
    <w:rsid w:val="00E62ABE"/>
    <w:rsid w:val="00EA1E44"/>
    <w:rsid w:val="00EE0C91"/>
    <w:rsid w:val="00EE69FF"/>
    <w:rsid w:val="00F0292B"/>
    <w:rsid w:val="00F14157"/>
    <w:rsid w:val="00F242C8"/>
    <w:rsid w:val="00F260CE"/>
    <w:rsid w:val="00F26793"/>
    <w:rsid w:val="00F27DC4"/>
    <w:rsid w:val="00F3035F"/>
    <w:rsid w:val="00F31976"/>
    <w:rsid w:val="00F35019"/>
    <w:rsid w:val="00F4068D"/>
    <w:rsid w:val="00F4540F"/>
    <w:rsid w:val="00F454C0"/>
    <w:rsid w:val="00F57FA7"/>
    <w:rsid w:val="00F608D1"/>
    <w:rsid w:val="00F7246D"/>
    <w:rsid w:val="00F81FD7"/>
    <w:rsid w:val="00F964EF"/>
    <w:rsid w:val="00FA1B61"/>
    <w:rsid w:val="00FB32C8"/>
    <w:rsid w:val="00FB49AE"/>
    <w:rsid w:val="00FB6C55"/>
    <w:rsid w:val="00FE33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EC97DB-8C1F-4216-8519-FD7E2DE7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0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發文字號"/>
    <w:basedOn w:val="a"/>
    <w:rsid w:val="00A20169"/>
    <w:pPr>
      <w:snapToGrid w:val="0"/>
      <w:spacing w:line="300" w:lineRule="exact"/>
    </w:pPr>
    <w:rPr>
      <w:rFonts w:ascii="Arial" w:eastAsia="標楷體" w:hAnsi="Arial" w:cs="Times New Roman"/>
      <w:szCs w:val="20"/>
    </w:rPr>
  </w:style>
  <w:style w:type="paragraph" w:styleId="a5">
    <w:name w:val="Balloon Text"/>
    <w:basedOn w:val="a"/>
    <w:link w:val="a6"/>
    <w:uiPriority w:val="99"/>
    <w:semiHidden/>
    <w:unhideWhenUsed/>
    <w:rsid w:val="001C2642"/>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C2642"/>
    <w:rPr>
      <w:rFonts w:asciiTheme="majorHAnsi" w:eastAsiaTheme="majorEastAsia" w:hAnsiTheme="majorHAnsi" w:cstheme="majorBidi"/>
      <w:sz w:val="18"/>
      <w:szCs w:val="18"/>
    </w:rPr>
  </w:style>
  <w:style w:type="paragraph" w:styleId="a7">
    <w:name w:val="header"/>
    <w:basedOn w:val="a"/>
    <w:link w:val="a8"/>
    <w:uiPriority w:val="99"/>
    <w:unhideWhenUsed/>
    <w:rsid w:val="004F5512"/>
    <w:pPr>
      <w:tabs>
        <w:tab w:val="center" w:pos="4153"/>
        <w:tab w:val="right" w:pos="8306"/>
      </w:tabs>
      <w:snapToGrid w:val="0"/>
    </w:pPr>
    <w:rPr>
      <w:sz w:val="20"/>
      <w:szCs w:val="20"/>
    </w:rPr>
  </w:style>
  <w:style w:type="character" w:customStyle="1" w:styleId="a8">
    <w:name w:val="頁首 字元"/>
    <w:basedOn w:val="a0"/>
    <w:link w:val="a7"/>
    <w:uiPriority w:val="99"/>
    <w:rsid w:val="004F5512"/>
    <w:rPr>
      <w:sz w:val="20"/>
      <w:szCs w:val="20"/>
    </w:rPr>
  </w:style>
  <w:style w:type="paragraph" w:styleId="a9">
    <w:name w:val="footer"/>
    <w:basedOn w:val="a"/>
    <w:link w:val="aa"/>
    <w:uiPriority w:val="99"/>
    <w:unhideWhenUsed/>
    <w:rsid w:val="004F5512"/>
    <w:pPr>
      <w:tabs>
        <w:tab w:val="center" w:pos="4153"/>
        <w:tab w:val="right" w:pos="8306"/>
      </w:tabs>
      <w:snapToGrid w:val="0"/>
    </w:pPr>
    <w:rPr>
      <w:sz w:val="20"/>
      <w:szCs w:val="20"/>
    </w:rPr>
  </w:style>
  <w:style w:type="character" w:customStyle="1" w:styleId="aa">
    <w:name w:val="頁尾 字元"/>
    <w:basedOn w:val="a0"/>
    <w:link w:val="a9"/>
    <w:uiPriority w:val="99"/>
    <w:rsid w:val="004F5512"/>
    <w:rPr>
      <w:sz w:val="20"/>
      <w:szCs w:val="20"/>
    </w:rPr>
  </w:style>
  <w:style w:type="paragraph" w:styleId="ab">
    <w:name w:val="List Paragraph"/>
    <w:basedOn w:val="a"/>
    <w:uiPriority w:val="34"/>
    <w:qFormat/>
    <w:rsid w:val="00F27DC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9505">
      <w:bodyDiv w:val="1"/>
      <w:marLeft w:val="0"/>
      <w:marRight w:val="0"/>
      <w:marTop w:val="0"/>
      <w:marBottom w:val="0"/>
      <w:divBdr>
        <w:top w:val="none" w:sz="0" w:space="0" w:color="auto"/>
        <w:left w:val="none" w:sz="0" w:space="0" w:color="auto"/>
        <w:bottom w:val="none" w:sz="0" w:space="0" w:color="auto"/>
        <w:right w:val="none" w:sz="0" w:space="0" w:color="auto"/>
      </w:divBdr>
    </w:div>
    <w:div w:id="223029172">
      <w:bodyDiv w:val="1"/>
      <w:marLeft w:val="0"/>
      <w:marRight w:val="0"/>
      <w:marTop w:val="0"/>
      <w:marBottom w:val="0"/>
      <w:divBdr>
        <w:top w:val="none" w:sz="0" w:space="0" w:color="auto"/>
        <w:left w:val="none" w:sz="0" w:space="0" w:color="auto"/>
        <w:bottom w:val="none" w:sz="0" w:space="0" w:color="auto"/>
        <w:right w:val="none" w:sz="0" w:space="0" w:color="auto"/>
      </w:divBdr>
      <w:divsChild>
        <w:div w:id="2708883">
          <w:marLeft w:val="0"/>
          <w:marRight w:val="0"/>
          <w:marTop w:val="0"/>
          <w:marBottom w:val="0"/>
          <w:divBdr>
            <w:top w:val="none" w:sz="0" w:space="0" w:color="auto"/>
            <w:left w:val="single" w:sz="6" w:space="0" w:color="999999"/>
            <w:bottom w:val="none" w:sz="0" w:space="0" w:color="auto"/>
            <w:right w:val="single" w:sz="6" w:space="0" w:color="999999"/>
          </w:divBdr>
          <w:divsChild>
            <w:div w:id="446629508">
              <w:marLeft w:val="0"/>
              <w:marRight w:val="0"/>
              <w:marTop w:val="0"/>
              <w:marBottom w:val="0"/>
              <w:divBdr>
                <w:top w:val="none" w:sz="0" w:space="0" w:color="auto"/>
                <w:left w:val="none" w:sz="0" w:space="0" w:color="auto"/>
                <w:bottom w:val="none" w:sz="0" w:space="0" w:color="auto"/>
                <w:right w:val="none" w:sz="0" w:space="0" w:color="auto"/>
              </w:divBdr>
              <w:divsChild>
                <w:div w:id="717238666">
                  <w:marLeft w:val="0"/>
                  <w:marRight w:val="0"/>
                  <w:marTop w:val="0"/>
                  <w:marBottom w:val="150"/>
                  <w:divBdr>
                    <w:top w:val="none" w:sz="0" w:space="0" w:color="auto"/>
                    <w:left w:val="none" w:sz="0" w:space="0" w:color="auto"/>
                    <w:bottom w:val="none" w:sz="0" w:space="0" w:color="auto"/>
                    <w:right w:val="none" w:sz="0" w:space="0" w:color="auto"/>
                  </w:divBdr>
                  <w:divsChild>
                    <w:div w:id="1937473055">
                      <w:marLeft w:val="0"/>
                      <w:marRight w:val="0"/>
                      <w:marTop w:val="0"/>
                      <w:marBottom w:val="0"/>
                      <w:divBdr>
                        <w:top w:val="none" w:sz="0" w:space="0" w:color="auto"/>
                        <w:left w:val="single" w:sz="6" w:space="0" w:color="CCCCCC"/>
                        <w:bottom w:val="none" w:sz="0" w:space="0" w:color="auto"/>
                        <w:right w:val="single" w:sz="6" w:space="0" w:color="CCCCCC"/>
                      </w:divBdr>
                      <w:divsChild>
                        <w:div w:id="713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10728">
      <w:bodyDiv w:val="1"/>
      <w:marLeft w:val="0"/>
      <w:marRight w:val="0"/>
      <w:marTop w:val="0"/>
      <w:marBottom w:val="0"/>
      <w:divBdr>
        <w:top w:val="none" w:sz="0" w:space="0" w:color="auto"/>
        <w:left w:val="none" w:sz="0" w:space="0" w:color="auto"/>
        <w:bottom w:val="none" w:sz="0" w:space="0" w:color="auto"/>
        <w:right w:val="none" w:sz="0" w:space="0" w:color="auto"/>
      </w:divBdr>
      <w:divsChild>
        <w:div w:id="403112527">
          <w:marLeft w:val="0"/>
          <w:marRight w:val="0"/>
          <w:marTop w:val="0"/>
          <w:marBottom w:val="0"/>
          <w:divBdr>
            <w:top w:val="none" w:sz="0" w:space="0" w:color="auto"/>
            <w:left w:val="single" w:sz="6" w:space="0" w:color="999999"/>
            <w:bottom w:val="none" w:sz="0" w:space="0" w:color="auto"/>
            <w:right w:val="single" w:sz="6" w:space="0" w:color="999999"/>
          </w:divBdr>
          <w:divsChild>
            <w:div w:id="1768191312">
              <w:marLeft w:val="0"/>
              <w:marRight w:val="0"/>
              <w:marTop w:val="0"/>
              <w:marBottom w:val="0"/>
              <w:divBdr>
                <w:top w:val="none" w:sz="0" w:space="0" w:color="auto"/>
                <w:left w:val="none" w:sz="0" w:space="0" w:color="auto"/>
                <w:bottom w:val="none" w:sz="0" w:space="0" w:color="auto"/>
                <w:right w:val="none" w:sz="0" w:space="0" w:color="auto"/>
              </w:divBdr>
              <w:divsChild>
                <w:div w:id="1641880544">
                  <w:marLeft w:val="0"/>
                  <w:marRight w:val="0"/>
                  <w:marTop w:val="0"/>
                  <w:marBottom w:val="150"/>
                  <w:divBdr>
                    <w:top w:val="none" w:sz="0" w:space="0" w:color="auto"/>
                    <w:left w:val="none" w:sz="0" w:space="0" w:color="auto"/>
                    <w:bottom w:val="none" w:sz="0" w:space="0" w:color="auto"/>
                    <w:right w:val="none" w:sz="0" w:space="0" w:color="auto"/>
                  </w:divBdr>
                  <w:divsChild>
                    <w:div w:id="1878083078">
                      <w:marLeft w:val="0"/>
                      <w:marRight w:val="0"/>
                      <w:marTop w:val="0"/>
                      <w:marBottom w:val="0"/>
                      <w:divBdr>
                        <w:top w:val="none" w:sz="0" w:space="0" w:color="auto"/>
                        <w:left w:val="single" w:sz="6" w:space="0" w:color="CCCCCC"/>
                        <w:bottom w:val="none" w:sz="0" w:space="0" w:color="auto"/>
                        <w:right w:val="single" w:sz="6" w:space="0" w:color="CCCCCC"/>
                      </w:divBdr>
                      <w:divsChild>
                        <w:div w:id="2042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5571">
      <w:bodyDiv w:val="1"/>
      <w:marLeft w:val="0"/>
      <w:marRight w:val="0"/>
      <w:marTop w:val="0"/>
      <w:marBottom w:val="0"/>
      <w:divBdr>
        <w:top w:val="none" w:sz="0" w:space="0" w:color="auto"/>
        <w:left w:val="none" w:sz="0" w:space="0" w:color="auto"/>
        <w:bottom w:val="none" w:sz="0" w:space="0" w:color="auto"/>
        <w:right w:val="none" w:sz="0" w:space="0" w:color="auto"/>
      </w:divBdr>
    </w:div>
    <w:div w:id="720833034">
      <w:bodyDiv w:val="1"/>
      <w:marLeft w:val="0"/>
      <w:marRight w:val="0"/>
      <w:marTop w:val="0"/>
      <w:marBottom w:val="0"/>
      <w:divBdr>
        <w:top w:val="none" w:sz="0" w:space="0" w:color="auto"/>
        <w:left w:val="none" w:sz="0" w:space="0" w:color="auto"/>
        <w:bottom w:val="none" w:sz="0" w:space="0" w:color="auto"/>
        <w:right w:val="none" w:sz="0" w:space="0" w:color="auto"/>
      </w:divBdr>
      <w:divsChild>
        <w:div w:id="1814715089">
          <w:marLeft w:val="0"/>
          <w:marRight w:val="0"/>
          <w:marTop w:val="0"/>
          <w:marBottom w:val="0"/>
          <w:divBdr>
            <w:top w:val="none" w:sz="0" w:space="0" w:color="auto"/>
            <w:left w:val="single" w:sz="6" w:space="0" w:color="999999"/>
            <w:bottom w:val="none" w:sz="0" w:space="0" w:color="auto"/>
            <w:right w:val="single" w:sz="6" w:space="0" w:color="999999"/>
          </w:divBdr>
          <w:divsChild>
            <w:div w:id="280261716">
              <w:marLeft w:val="0"/>
              <w:marRight w:val="0"/>
              <w:marTop w:val="0"/>
              <w:marBottom w:val="0"/>
              <w:divBdr>
                <w:top w:val="none" w:sz="0" w:space="0" w:color="auto"/>
                <w:left w:val="none" w:sz="0" w:space="0" w:color="auto"/>
                <w:bottom w:val="none" w:sz="0" w:space="0" w:color="auto"/>
                <w:right w:val="none" w:sz="0" w:space="0" w:color="auto"/>
              </w:divBdr>
              <w:divsChild>
                <w:div w:id="1342582134">
                  <w:marLeft w:val="0"/>
                  <w:marRight w:val="0"/>
                  <w:marTop w:val="0"/>
                  <w:marBottom w:val="150"/>
                  <w:divBdr>
                    <w:top w:val="none" w:sz="0" w:space="0" w:color="auto"/>
                    <w:left w:val="none" w:sz="0" w:space="0" w:color="auto"/>
                    <w:bottom w:val="none" w:sz="0" w:space="0" w:color="auto"/>
                    <w:right w:val="none" w:sz="0" w:space="0" w:color="auto"/>
                  </w:divBdr>
                  <w:divsChild>
                    <w:div w:id="29040581">
                      <w:marLeft w:val="0"/>
                      <w:marRight w:val="0"/>
                      <w:marTop w:val="0"/>
                      <w:marBottom w:val="0"/>
                      <w:divBdr>
                        <w:top w:val="none" w:sz="0" w:space="0" w:color="auto"/>
                        <w:left w:val="single" w:sz="6" w:space="0" w:color="CCCCCC"/>
                        <w:bottom w:val="none" w:sz="0" w:space="0" w:color="auto"/>
                        <w:right w:val="single" w:sz="6" w:space="0" w:color="CCCCCC"/>
                      </w:divBdr>
                      <w:divsChild>
                        <w:div w:id="1213037674">
                          <w:marLeft w:val="0"/>
                          <w:marRight w:val="0"/>
                          <w:marTop w:val="0"/>
                          <w:marBottom w:val="0"/>
                          <w:divBdr>
                            <w:top w:val="none" w:sz="0" w:space="0" w:color="auto"/>
                            <w:left w:val="none" w:sz="0" w:space="0" w:color="auto"/>
                            <w:bottom w:val="none" w:sz="0" w:space="0" w:color="auto"/>
                            <w:right w:val="none" w:sz="0" w:space="0" w:color="auto"/>
                          </w:divBdr>
                          <w:divsChild>
                            <w:div w:id="14376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182279">
      <w:bodyDiv w:val="1"/>
      <w:marLeft w:val="0"/>
      <w:marRight w:val="0"/>
      <w:marTop w:val="0"/>
      <w:marBottom w:val="0"/>
      <w:divBdr>
        <w:top w:val="none" w:sz="0" w:space="0" w:color="auto"/>
        <w:left w:val="none" w:sz="0" w:space="0" w:color="auto"/>
        <w:bottom w:val="none" w:sz="0" w:space="0" w:color="auto"/>
        <w:right w:val="none" w:sz="0" w:space="0" w:color="auto"/>
      </w:divBdr>
      <w:divsChild>
        <w:div w:id="1740713018">
          <w:marLeft w:val="0"/>
          <w:marRight w:val="0"/>
          <w:marTop w:val="0"/>
          <w:marBottom w:val="0"/>
          <w:divBdr>
            <w:top w:val="none" w:sz="0" w:space="0" w:color="auto"/>
            <w:left w:val="single" w:sz="6" w:space="0" w:color="999999"/>
            <w:bottom w:val="none" w:sz="0" w:space="0" w:color="auto"/>
            <w:right w:val="single" w:sz="6" w:space="0" w:color="999999"/>
          </w:divBdr>
          <w:divsChild>
            <w:div w:id="864950019">
              <w:marLeft w:val="0"/>
              <w:marRight w:val="0"/>
              <w:marTop w:val="0"/>
              <w:marBottom w:val="0"/>
              <w:divBdr>
                <w:top w:val="none" w:sz="0" w:space="0" w:color="auto"/>
                <w:left w:val="none" w:sz="0" w:space="0" w:color="auto"/>
                <w:bottom w:val="none" w:sz="0" w:space="0" w:color="auto"/>
                <w:right w:val="none" w:sz="0" w:space="0" w:color="auto"/>
              </w:divBdr>
              <w:divsChild>
                <w:div w:id="616328421">
                  <w:marLeft w:val="0"/>
                  <w:marRight w:val="0"/>
                  <w:marTop w:val="0"/>
                  <w:marBottom w:val="150"/>
                  <w:divBdr>
                    <w:top w:val="none" w:sz="0" w:space="0" w:color="auto"/>
                    <w:left w:val="none" w:sz="0" w:space="0" w:color="auto"/>
                    <w:bottom w:val="none" w:sz="0" w:space="0" w:color="auto"/>
                    <w:right w:val="none" w:sz="0" w:space="0" w:color="auto"/>
                  </w:divBdr>
                  <w:divsChild>
                    <w:div w:id="1345396842">
                      <w:marLeft w:val="0"/>
                      <w:marRight w:val="0"/>
                      <w:marTop w:val="0"/>
                      <w:marBottom w:val="0"/>
                      <w:divBdr>
                        <w:top w:val="none" w:sz="0" w:space="0" w:color="auto"/>
                        <w:left w:val="single" w:sz="6" w:space="0" w:color="CCCCCC"/>
                        <w:bottom w:val="none" w:sz="0" w:space="0" w:color="auto"/>
                        <w:right w:val="single" w:sz="6" w:space="0" w:color="CCCCCC"/>
                      </w:divBdr>
                      <w:divsChild>
                        <w:div w:id="869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22891">
      <w:bodyDiv w:val="1"/>
      <w:marLeft w:val="0"/>
      <w:marRight w:val="0"/>
      <w:marTop w:val="0"/>
      <w:marBottom w:val="0"/>
      <w:divBdr>
        <w:top w:val="none" w:sz="0" w:space="0" w:color="auto"/>
        <w:left w:val="none" w:sz="0" w:space="0" w:color="auto"/>
        <w:bottom w:val="none" w:sz="0" w:space="0" w:color="auto"/>
        <w:right w:val="none" w:sz="0" w:space="0" w:color="auto"/>
      </w:divBdr>
      <w:divsChild>
        <w:div w:id="464783749">
          <w:marLeft w:val="0"/>
          <w:marRight w:val="0"/>
          <w:marTop w:val="0"/>
          <w:marBottom w:val="0"/>
          <w:divBdr>
            <w:top w:val="none" w:sz="0" w:space="0" w:color="auto"/>
            <w:left w:val="single" w:sz="6" w:space="0" w:color="999999"/>
            <w:bottom w:val="none" w:sz="0" w:space="0" w:color="auto"/>
            <w:right w:val="single" w:sz="6" w:space="0" w:color="999999"/>
          </w:divBdr>
          <w:divsChild>
            <w:div w:id="965543056">
              <w:marLeft w:val="0"/>
              <w:marRight w:val="0"/>
              <w:marTop w:val="0"/>
              <w:marBottom w:val="0"/>
              <w:divBdr>
                <w:top w:val="none" w:sz="0" w:space="0" w:color="auto"/>
                <w:left w:val="none" w:sz="0" w:space="0" w:color="auto"/>
                <w:bottom w:val="none" w:sz="0" w:space="0" w:color="auto"/>
                <w:right w:val="none" w:sz="0" w:space="0" w:color="auto"/>
              </w:divBdr>
              <w:divsChild>
                <w:div w:id="1929148459">
                  <w:marLeft w:val="0"/>
                  <w:marRight w:val="0"/>
                  <w:marTop w:val="0"/>
                  <w:marBottom w:val="150"/>
                  <w:divBdr>
                    <w:top w:val="none" w:sz="0" w:space="0" w:color="auto"/>
                    <w:left w:val="none" w:sz="0" w:space="0" w:color="auto"/>
                    <w:bottom w:val="none" w:sz="0" w:space="0" w:color="auto"/>
                    <w:right w:val="none" w:sz="0" w:space="0" w:color="auto"/>
                  </w:divBdr>
                  <w:divsChild>
                    <w:div w:id="1366061000">
                      <w:marLeft w:val="0"/>
                      <w:marRight w:val="0"/>
                      <w:marTop w:val="0"/>
                      <w:marBottom w:val="0"/>
                      <w:divBdr>
                        <w:top w:val="none" w:sz="0" w:space="0" w:color="auto"/>
                        <w:left w:val="single" w:sz="6" w:space="0" w:color="CCCCCC"/>
                        <w:bottom w:val="none" w:sz="0" w:space="0" w:color="auto"/>
                        <w:right w:val="single" w:sz="6" w:space="0" w:color="CCCCCC"/>
                      </w:divBdr>
                      <w:divsChild>
                        <w:div w:id="19638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5466">
      <w:bodyDiv w:val="1"/>
      <w:marLeft w:val="0"/>
      <w:marRight w:val="0"/>
      <w:marTop w:val="0"/>
      <w:marBottom w:val="0"/>
      <w:divBdr>
        <w:top w:val="none" w:sz="0" w:space="0" w:color="auto"/>
        <w:left w:val="none" w:sz="0" w:space="0" w:color="auto"/>
        <w:bottom w:val="none" w:sz="0" w:space="0" w:color="auto"/>
        <w:right w:val="none" w:sz="0" w:space="0" w:color="auto"/>
      </w:divBdr>
    </w:div>
    <w:div w:id="1327049762">
      <w:bodyDiv w:val="1"/>
      <w:marLeft w:val="0"/>
      <w:marRight w:val="0"/>
      <w:marTop w:val="0"/>
      <w:marBottom w:val="0"/>
      <w:divBdr>
        <w:top w:val="none" w:sz="0" w:space="0" w:color="auto"/>
        <w:left w:val="none" w:sz="0" w:space="0" w:color="auto"/>
        <w:bottom w:val="none" w:sz="0" w:space="0" w:color="auto"/>
        <w:right w:val="none" w:sz="0" w:space="0" w:color="auto"/>
      </w:divBdr>
      <w:divsChild>
        <w:div w:id="1936671854">
          <w:marLeft w:val="0"/>
          <w:marRight w:val="0"/>
          <w:marTop w:val="0"/>
          <w:marBottom w:val="0"/>
          <w:divBdr>
            <w:top w:val="none" w:sz="0" w:space="0" w:color="auto"/>
            <w:left w:val="single" w:sz="6" w:space="0" w:color="999999"/>
            <w:bottom w:val="none" w:sz="0" w:space="0" w:color="auto"/>
            <w:right w:val="single" w:sz="6" w:space="0" w:color="999999"/>
          </w:divBdr>
          <w:divsChild>
            <w:div w:id="1539120403">
              <w:marLeft w:val="0"/>
              <w:marRight w:val="0"/>
              <w:marTop w:val="0"/>
              <w:marBottom w:val="0"/>
              <w:divBdr>
                <w:top w:val="none" w:sz="0" w:space="0" w:color="auto"/>
                <w:left w:val="none" w:sz="0" w:space="0" w:color="auto"/>
                <w:bottom w:val="none" w:sz="0" w:space="0" w:color="auto"/>
                <w:right w:val="none" w:sz="0" w:space="0" w:color="auto"/>
              </w:divBdr>
              <w:divsChild>
                <w:div w:id="1597516085">
                  <w:marLeft w:val="0"/>
                  <w:marRight w:val="0"/>
                  <w:marTop w:val="0"/>
                  <w:marBottom w:val="150"/>
                  <w:divBdr>
                    <w:top w:val="none" w:sz="0" w:space="0" w:color="auto"/>
                    <w:left w:val="none" w:sz="0" w:space="0" w:color="auto"/>
                    <w:bottom w:val="none" w:sz="0" w:space="0" w:color="auto"/>
                    <w:right w:val="none" w:sz="0" w:space="0" w:color="auto"/>
                  </w:divBdr>
                  <w:divsChild>
                    <w:div w:id="80761657">
                      <w:marLeft w:val="0"/>
                      <w:marRight w:val="0"/>
                      <w:marTop w:val="0"/>
                      <w:marBottom w:val="0"/>
                      <w:divBdr>
                        <w:top w:val="none" w:sz="0" w:space="0" w:color="auto"/>
                        <w:left w:val="single" w:sz="6" w:space="0" w:color="CCCCCC"/>
                        <w:bottom w:val="none" w:sz="0" w:space="0" w:color="auto"/>
                        <w:right w:val="single" w:sz="6" w:space="0" w:color="CCCCCC"/>
                      </w:divBdr>
                      <w:divsChild>
                        <w:div w:id="1753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97710">
      <w:bodyDiv w:val="1"/>
      <w:marLeft w:val="0"/>
      <w:marRight w:val="0"/>
      <w:marTop w:val="0"/>
      <w:marBottom w:val="0"/>
      <w:divBdr>
        <w:top w:val="none" w:sz="0" w:space="0" w:color="auto"/>
        <w:left w:val="none" w:sz="0" w:space="0" w:color="auto"/>
        <w:bottom w:val="none" w:sz="0" w:space="0" w:color="auto"/>
        <w:right w:val="none" w:sz="0" w:space="0" w:color="auto"/>
      </w:divBdr>
      <w:divsChild>
        <w:div w:id="1225143535">
          <w:marLeft w:val="0"/>
          <w:marRight w:val="0"/>
          <w:marTop w:val="0"/>
          <w:marBottom w:val="0"/>
          <w:divBdr>
            <w:top w:val="none" w:sz="0" w:space="0" w:color="auto"/>
            <w:left w:val="single" w:sz="6" w:space="0" w:color="999999"/>
            <w:bottom w:val="none" w:sz="0" w:space="0" w:color="auto"/>
            <w:right w:val="single" w:sz="6" w:space="0" w:color="999999"/>
          </w:divBdr>
          <w:divsChild>
            <w:div w:id="282808871">
              <w:marLeft w:val="0"/>
              <w:marRight w:val="0"/>
              <w:marTop w:val="0"/>
              <w:marBottom w:val="0"/>
              <w:divBdr>
                <w:top w:val="none" w:sz="0" w:space="0" w:color="auto"/>
                <w:left w:val="none" w:sz="0" w:space="0" w:color="auto"/>
                <w:bottom w:val="none" w:sz="0" w:space="0" w:color="auto"/>
                <w:right w:val="none" w:sz="0" w:space="0" w:color="auto"/>
              </w:divBdr>
              <w:divsChild>
                <w:div w:id="1557668623">
                  <w:marLeft w:val="0"/>
                  <w:marRight w:val="0"/>
                  <w:marTop w:val="0"/>
                  <w:marBottom w:val="150"/>
                  <w:divBdr>
                    <w:top w:val="none" w:sz="0" w:space="0" w:color="auto"/>
                    <w:left w:val="none" w:sz="0" w:space="0" w:color="auto"/>
                    <w:bottom w:val="none" w:sz="0" w:space="0" w:color="auto"/>
                    <w:right w:val="none" w:sz="0" w:space="0" w:color="auto"/>
                  </w:divBdr>
                  <w:divsChild>
                    <w:div w:id="997533487">
                      <w:marLeft w:val="0"/>
                      <w:marRight w:val="0"/>
                      <w:marTop w:val="0"/>
                      <w:marBottom w:val="0"/>
                      <w:divBdr>
                        <w:top w:val="none" w:sz="0" w:space="0" w:color="auto"/>
                        <w:left w:val="single" w:sz="6" w:space="0" w:color="CCCCCC"/>
                        <w:bottom w:val="none" w:sz="0" w:space="0" w:color="auto"/>
                        <w:right w:val="single" w:sz="6" w:space="0" w:color="CCCCCC"/>
                      </w:divBdr>
                      <w:divsChild>
                        <w:div w:id="966664028">
                          <w:marLeft w:val="0"/>
                          <w:marRight w:val="0"/>
                          <w:marTop w:val="0"/>
                          <w:marBottom w:val="0"/>
                          <w:divBdr>
                            <w:top w:val="none" w:sz="0" w:space="0" w:color="auto"/>
                            <w:left w:val="none" w:sz="0" w:space="0" w:color="auto"/>
                            <w:bottom w:val="none" w:sz="0" w:space="0" w:color="auto"/>
                            <w:right w:val="none" w:sz="0" w:space="0" w:color="auto"/>
                          </w:divBdr>
                          <w:divsChild>
                            <w:div w:id="15551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21509">
      <w:bodyDiv w:val="1"/>
      <w:marLeft w:val="0"/>
      <w:marRight w:val="0"/>
      <w:marTop w:val="0"/>
      <w:marBottom w:val="0"/>
      <w:divBdr>
        <w:top w:val="none" w:sz="0" w:space="0" w:color="auto"/>
        <w:left w:val="none" w:sz="0" w:space="0" w:color="auto"/>
        <w:bottom w:val="none" w:sz="0" w:space="0" w:color="auto"/>
        <w:right w:val="none" w:sz="0" w:space="0" w:color="auto"/>
      </w:divBdr>
      <w:divsChild>
        <w:div w:id="869799807">
          <w:marLeft w:val="0"/>
          <w:marRight w:val="0"/>
          <w:marTop w:val="0"/>
          <w:marBottom w:val="0"/>
          <w:divBdr>
            <w:top w:val="none" w:sz="0" w:space="0" w:color="auto"/>
            <w:left w:val="single" w:sz="6" w:space="0" w:color="999999"/>
            <w:bottom w:val="none" w:sz="0" w:space="0" w:color="auto"/>
            <w:right w:val="single" w:sz="6" w:space="0" w:color="999999"/>
          </w:divBdr>
          <w:divsChild>
            <w:div w:id="1948538804">
              <w:marLeft w:val="0"/>
              <w:marRight w:val="0"/>
              <w:marTop w:val="0"/>
              <w:marBottom w:val="0"/>
              <w:divBdr>
                <w:top w:val="none" w:sz="0" w:space="0" w:color="auto"/>
                <w:left w:val="none" w:sz="0" w:space="0" w:color="auto"/>
                <w:bottom w:val="none" w:sz="0" w:space="0" w:color="auto"/>
                <w:right w:val="none" w:sz="0" w:space="0" w:color="auto"/>
              </w:divBdr>
              <w:divsChild>
                <w:div w:id="552623861">
                  <w:marLeft w:val="0"/>
                  <w:marRight w:val="0"/>
                  <w:marTop w:val="0"/>
                  <w:marBottom w:val="150"/>
                  <w:divBdr>
                    <w:top w:val="none" w:sz="0" w:space="0" w:color="auto"/>
                    <w:left w:val="none" w:sz="0" w:space="0" w:color="auto"/>
                    <w:bottom w:val="none" w:sz="0" w:space="0" w:color="auto"/>
                    <w:right w:val="none" w:sz="0" w:space="0" w:color="auto"/>
                  </w:divBdr>
                  <w:divsChild>
                    <w:div w:id="1564829877">
                      <w:marLeft w:val="0"/>
                      <w:marRight w:val="0"/>
                      <w:marTop w:val="0"/>
                      <w:marBottom w:val="0"/>
                      <w:divBdr>
                        <w:top w:val="none" w:sz="0" w:space="0" w:color="auto"/>
                        <w:left w:val="single" w:sz="6" w:space="0" w:color="CCCCCC"/>
                        <w:bottom w:val="none" w:sz="0" w:space="0" w:color="auto"/>
                        <w:right w:val="single" w:sz="6" w:space="0" w:color="CCCCCC"/>
                      </w:divBdr>
                      <w:divsChild>
                        <w:div w:id="2122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AE7C9-6BC6-45EB-8EEE-D34D2D06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侯順耀</dc:creator>
  <cp:lastModifiedBy>丁姸君</cp:lastModifiedBy>
  <cp:revision>2</cp:revision>
  <cp:lastPrinted>2017-05-03T08:58:00Z</cp:lastPrinted>
  <dcterms:created xsi:type="dcterms:W3CDTF">2017-06-09T10:58:00Z</dcterms:created>
  <dcterms:modified xsi:type="dcterms:W3CDTF">2017-06-09T10:58:00Z</dcterms:modified>
</cp:coreProperties>
</file>