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spacing w:lineRule="exact" w:line="540"/>
        <w:jc w:val="center"/>
        <w:rPr>
          <w:rFonts w:ascii="標楷體" w:hAnsi="標楷體" w:eastAsia="標楷體"/>
          <w:b/>
          <w:b/>
          <w:color w:val="000000"/>
          <w:sz w:val="32"/>
          <w:szCs w:val="32"/>
        </w:rPr>
      </w:pPr>
      <w:r>
        <w:rPr>
          <w:rFonts w:ascii="標楷體" w:hAnsi="標楷體" w:eastAsia="標楷體"/>
          <w:b/>
          <w:color w:val="000000"/>
          <w:sz w:val="32"/>
          <w:szCs w:val="32"/>
        </w:rPr>
        <w:t>新北市新店地政事務所</w:t>
      </w:r>
    </w:p>
    <w:p>
      <w:pPr>
        <w:pStyle w:val="Style18"/>
        <w:rPr>
          <w:rFonts w:ascii="標楷體" w:hAnsi="標楷體" w:eastAsia="標楷體"/>
          <w:b/>
          <w:b/>
          <w:color w:val="000000"/>
          <w:sz w:val="32"/>
          <w:szCs w:val="32"/>
        </w:rPr>
      </w:pPr>
      <w:r>
        <w:rPr>
          <w:rFonts w:ascii="標楷體" w:hAnsi="標楷體" w:eastAsia="標楷體"/>
          <w:b/>
          <w:color w:val="000000"/>
          <w:sz w:val="32"/>
          <w:szCs w:val="32"/>
        </w:rPr>
        <w:t>「客製化實價登錄申報書填寫範例」創新提案再精進成果</w:t>
      </w:r>
    </w:p>
    <w:p>
      <w:pPr>
        <w:pStyle w:val="Style19"/>
        <w:tabs>
          <w:tab w:val="left" w:pos="-1276" w:leader="none"/>
        </w:tabs>
        <w:spacing w:lineRule="exact" w:line="540" w:before="540" w:after="0"/>
        <w:ind w:start="0" w:end="0" w:hanging="0"/>
        <w:rPr>
          <w:rFonts w:ascii="標楷體" w:hAnsi="標楷體" w:eastAsia="標楷體"/>
          <w:color w:val="000000"/>
          <w:sz w:val="28"/>
          <w:szCs w:val="28"/>
        </w:rPr>
      </w:pPr>
      <w:r>
        <w:rPr>
          <w:rFonts w:ascii="標楷體" w:hAnsi="標楷體" w:eastAsia="標楷體"/>
          <w:color w:val="000000"/>
          <w:sz w:val="28"/>
          <w:szCs w:val="28"/>
        </w:rPr>
        <w:t>壹、計畫：</w:t>
      </w:r>
    </w:p>
    <w:p>
      <w:pPr>
        <w:pStyle w:val="Style18"/>
        <w:tabs>
          <w:tab w:val="clear" w:pos="480"/>
        </w:tabs>
        <w:spacing w:lineRule="exact" w:line="540"/>
        <w:ind w:start="283" w:end="0" w:hanging="0"/>
        <w:rPr>
          <w:rFonts w:ascii="標楷體" w:hAnsi="標楷體" w:eastAsia="標楷體"/>
          <w:color w:val="000000"/>
          <w:sz w:val="28"/>
          <w:szCs w:val="28"/>
        </w:rPr>
      </w:pPr>
      <w:r>
        <w:rPr>
          <w:rFonts w:ascii="標楷體" w:hAnsi="標楷體" w:eastAsia="標楷體"/>
          <w:color w:val="000000"/>
          <w:sz w:val="28"/>
          <w:szCs w:val="28"/>
        </w:rPr>
        <w:t xml:space="preserve">  </w:t>
      </w:r>
      <w:r>
        <w:rPr>
          <w:rFonts w:ascii="標楷體" w:hAnsi="標楷體" w:eastAsia="標楷體"/>
          <w:color w:val="000000"/>
          <w:sz w:val="28"/>
          <w:szCs w:val="28"/>
        </w:rPr>
        <w:t>依據本所「提案制度執行要點」辦理。</w:t>
      </w:r>
    </w:p>
    <w:p>
      <w:pPr>
        <w:pStyle w:val="Style19"/>
        <w:numPr>
          <w:ilvl w:val="0"/>
          <w:numId w:val="0"/>
        </w:numPr>
        <w:tabs>
          <w:tab w:val="left" w:pos="-796" w:leader="none"/>
        </w:tabs>
        <w:spacing w:lineRule="exact" w:line="540" w:before="180" w:after="180"/>
        <w:ind w:start="480" w:end="0" w:hanging="0"/>
        <w:rPr>
          <w:rFonts w:ascii="標楷體" w:hAnsi="標楷體" w:eastAsia="標楷體"/>
          <w:color w:val="000000"/>
          <w:sz w:val="28"/>
          <w:szCs w:val="28"/>
        </w:rPr>
      </w:pPr>
      <w:r>
        <w:rPr>
          <w:rFonts w:ascii="標楷體" w:hAnsi="標楷體" w:eastAsia="標楷體"/>
          <w:color w:val="000000"/>
          <w:sz w:val="28"/>
          <w:szCs w:val="28"/>
        </w:rPr>
        <w:t xml:space="preserve">貳、執行情形： </w:t>
      </w:r>
    </w:p>
    <w:p>
      <w:pPr>
        <w:pStyle w:val="Style19"/>
        <w:numPr>
          <w:ilvl w:val="1"/>
          <w:numId w:val="2"/>
        </w:numPr>
        <w:spacing w:lineRule="exact" w:line="540"/>
        <w:ind w:start="480" w:end="0" w:hanging="196"/>
        <w:rPr>
          <w:rFonts w:ascii="標楷體" w:hAnsi="標楷體" w:eastAsia="標楷體"/>
          <w:bCs/>
          <w:color w:val="000000"/>
          <w:sz w:val="28"/>
          <w:szCs w:val="28"/>
        </w:rPr>
      </w:pPr>
      <w:r>
        <w:rPr>
          <w:rFonts w:ascii="標楷體" w:hAnsi="標楷體" w:eastAsia="標楷體"/>
          <w:bCs/>
          <w:color w:val="000000"/>
          <w:sz w:val="28"/>
          <w:szCs w:val="28"/>
        </w:rPr>
        <w:t>實際執行</w:t>
      </w:r>
    </w:p>
    <w:p>
      <w:pPr>
        <w:pStyle w:val="Style19"/>
        <w:spacing w:lineRule="exact" w:line="540"/>
        <w:ind w:start="851" w:end="84" w:firstLine="566"/>
        <w:rPr>
          <w:rFonts w:ascii="標楷體" w:hAnsi="標楷體" w:eastAsia="標楷體"/>
          <w:bCs/>
          <w:color w:val="000000"/>
          <w:sz w:val="28"/>
          <w:szCs w:val="28"/>
        </w:rPr>
      </w:pPr>
      <w:r>
        <w:rPr>
          <w:rFonts w:ascii="標楷體" w:hAnsi="標楷體" w:eastAsia="標楷體"/>
          <w:bCs/>
          <w:color w:val="000000"/>
          <w:sz w:val="28"/>
          <w:szCs w:val="28"/>
        </w:rPr>
        <w:t>本案係依據</w:t>
      </w:r>
      <w:r>
        <w:rPr>
          <w:rFonts w:eastAsia="標楷體" w:ascii="標楷體" w:hAnsi="標楷體"/>
          <w:bCs/>
          <w:color w:val="000000"/>
          <w:sz w:val="28"/>
          <w:szCs w:val="28"/>
        </w:rPr>
        <w:t>109</w:t>
      </w:r>
      <w:r>
        <w:rPr>
          <w:rFonts w:ascii="標楷體" w:hAnsi="標楷體" w:eastAsia="標楷體"/>
          <w:bCs/>
          <w:color w:val="000000"/>
          <w:sz w:val="28"/>
          <w:szCs w:val="28"/>
        </w:rPr>
        <w:t>年</w:t>
      </w:r>
      <w:r>
        <w:rPr>
          <w:rFonts w:eastAsia="標楷體" w:ascii="標楷體" w:hAnsi="標楷體"/>
          <w:bCs/>
          <w:color w:val="000000"/>
          <w:sz w:val="28"/>
          <w:szCs w:val="28"/>
        </w:rPr>
        <w:t>3</w:t>
      </w:r>
      <w:r>
        <w:rPr>
          <w:rFonts w:ascii="標楷體" w:hAnsi="標楷體" w:eastAsia="標楷體"/>
          <w:bCs/>
          <w:color w:val="000000"/>
          <w:sz w:val="28"/>
          <w:szCs w:val="28"/>
        </w:rPr>
        <w:t>月</w:t>
      </w:r>
      <w:r>
        <w:rPr>
          <w:rFonts w:eastAsia="標楷體" w:ascii="標楷體" w:hAnsi="標楷體"/>
          <w:bCs/>
          <w:color w:val="000000"/>
          <w:sz w:val="28"/>
          <w:szCs w:val="28"/>
        </w:rPr>
        <w:t>16</w:t>
      </w:r>
      <w:r>
        <w:rPr>
          <w:rFonts w:ascii="標楷體" w:hAnsi="標楷體" w:eastAsia="標楷體"/>
          <w:bCs/>
          <w:color w:val="000000"/>
          <w:sz w:val="28"/>
          <w:szCs w:val="28"/>
        </w:rPr>
        <w:t>日亮點創新服務提案單辦理，為因應實價登錄新制，避免民眾自行申報之錯誤情形增加，遂借鑑田中地政事務所建置客製化表單方式製作「客製化實價登錄申報書填寫範例」，透過</w:t>
      </w:r>
      <w:r>
        <w:rPr>
          <w:rFonts w:eastAsia="標楷體" w:ascii="標楷體" w:hAnsi="標楷體"/>
          <w:bCs/>
          <w:color w:val="000000"/>
          <w:sz w:val="28"/>
          <w:szCs w:val="28"/>
        </w:rPr>
        <w:t>Google</w:t>
      </w:r>
      <w:r>
        <w:rPr>
          <w:rFonts w:ascii="標楷體" w:hAnsi="標楷體" w:eastAsia="標楷體"/>
          <w:bCs/>
          <w:color w:val="000000"/>
          <w:sz w:val="28"/>
          <w:szCs w:val="28"/>
        </w:rPr>
        <w:t>表單以問答之方式，並依據樹狀圖原理分類申報種類及身分，引導民眾取得其欲申報類型之申報書範本，供其參考後以填具申報書送件。此外，於</w:t>
      </w:r>
      <w:r>
        <w:rPr>
          <w:rFonts w:eastAsia="標楷體" w:ascii="標楷體" w:hAnsi="標楷體"/>
          <w:bCs/>
          <w:color w:val="000000"/>
          <w:sz w:val="28"/>
          <w:szCs w:val="28"/>
        </w:rPr>
        <w:t>Google</w:t>
      </w:r>
      <w:r>
        <w:rPr>
          <w:rFonts w:ascii="標楷體" w:hAnsi="標楷體" w:eastAsia="標楷體"/>
          <w:bCs/>
          <w:color w:val="000000"/>
          <w:sz w:val="28"/>
          <w:szCs w:val="28"/>
        </w:rPr>
        <w:t>表單頁面上顯示送件應備文件、實價登錄相關資訊及裁罰規定。</w:t>
      </w:r>
    </w:p>
    <w:p>
      <w:pPr>
        <w:pStyle w:val="Style19"/>
        <w:spacing w:lineRule="exact" w:line="540"/>
        <w:ind w:start="851" w:end="226" w:firstLine="566"/>
        <w:rPr/>
      </w:pPr>
      <w:r>
        <w:drawing>
          <wp:anchor behindDoc="0" distT="6350" distB="6350" distL="6350" distR="6350" simplePos="0" locked="0" layoutInCell="0" allowOverlap="1" relativeHeight="2">
            <wp:simplePos x="0" y="0"/>
            <wp:positionH relativeFrom="margin">
              <wp:posOffset>-252095</wp:posOffset>
            </wp:positionH>
            <wp:positionV relativeFrom="margin">
              <wp:posOffset>7360920</wp:posOffset>
            </wp:positionV>
            <wp:extent cx="5901055" cy="1798320"/>
            <wp:effectExtent l="0" t="0" r="0" b="0"/>
            <wp:wrapSquare wrapText="bothSides"/>
            <wp:docPr id="1" name="圖片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yle14"/>
          <w:rFonts w:ascii="標楷體" w:hAnsi="標楷體" w:eastAsia="標楷體"/>
          <w:bCs/>
          <w:color w:val="000000"/>
          <w:sz w:val="28"/>
          <w:szCs w:val="28"/>
        </w:rPr>
        <w:t>因應</w:t>
      </w:r>
      <w:r>
        <w:rPr>
          <w:rStyle w:val="Style14"/>
          <w:rFonts w:eastAsia="標楷體" w:ascii="標楷體" w:hAnsi="標楷體"/>
          <w:bCs/>
          <w:color w:val="000000"/>
          <w:sz w:val="28"/>
          <w:szCs w:val="28"/>
        </w:rPr>
        <w:t>110</w:t>
      </w:r>
      <w:r>
        <w:rPr>
          <w:rStyle w:val="Style14"/>
          <w:rFonts w:ascii="標楷體" w:hAnsi="標楷體" w:eastAsia="標楷體"/>
          <w:bCs/>
          <w:color w:val="000000"/>
          <w:sz w:val="28"/>
          <w:szCs w:val="28"/>
        </w:rPr>
        <w:t>年</w:t>
      </w:r>
      <w:r>
        <w:rPr>
          <w:rStyle w:val="Style14"/>
          <w:rFonts w:eastAsia="標楷體" w:ascii="標楷體" w:hAnsi="標楷體"/>
          <w:bCs/>
          <w:color w:val="000000"/>
          <w:sz w:val="28"/>
          <w:szCs w:val="28"/>
        </w:rPr>
        <w:t>7</w:t>
      </w:r>
      <w:r>
        <w:rPr>
          <w:rStyle w:val="Style14"/>
          <w:rFonts w:ascii="標楷體" w:hAnsi="標楷體" w:eastAsia="標楷體"/>
          <w:bCs/>
          <w:color w:val="000000"/>
          <w:sz w:val="28"/>
          <w:szCs w:val="28"/>
        </w:rPr>
        <w:t>月</w:t>
      </w:r>
      <w:r>
        <w:rPr>
          <w:rStyle w:val="Style14"/>
          <w:rFonts w:eastAsia="標楷體" w:ascii="標楷體" w:hAnsi="標楷體"/>
          <w:bCs/>
          <w:color w:val="000000"/>
          <w:sz w:val="28"/>
          <w:szCs w:val="28"/>
        </w:rPr>
        <w:t>1</w:t>
      </w:r>
      <w:r>
        <w:rPr>
          <w:rStyle w:val="Style14"/>
          <w:rFonts w:ascii="標楷體" w:hAnsi="標楷體" w:eastAsia="標楷體"/>
          <w:bCs/>
          <w:color w:val="000000"/>
          <w:sz w:val="28"/>
          <w:szCs w:val="28"/>
        </w:rPr>
        <w:t>日實價登錄</w:t>
      </w:r>
      <w:r>
        <w:rPr>
          <w:rStyle w:val="Style14"/>
          <w:rFonts w:eastAsia="標楷體" w:ascii="標楷體" w:hAnsi="標楷體"/>
          <w:bCs/>
          <w:color w:val="000000"/>
          <w:sz w:val="28"/>
          <w:szCs w:val="28"/>
        </w:rPr>
        <w:t>2.0</w:t>
      </w:r>
      <w:r>
        <w:rPr>
          <w:rStyle w:val="Style14"/>
          <w:rFonts w:ascii="標楷體" w:hAnsi="標楷體" w:eastAsia="標楷體"/>
          <w:bCs/>
          <w:color w:val="000000"/>
          <w:sz w:val="28"/>
          <w:szCs w:val="28"/>
        </w:rPr>
        <w:t>新制上路，新增建商自售之預售屋案件申報登錄規定及申報期限緩衝期間，本次參考政大學生參訪回饋表意見進行酌修內容，並新增預售屋實價登錄申報及備查之相關規定，使客製化表單內容更臻完整。</w:t>
      </w:r>
    </w:p>
    <w:p>
      <w:pPr>
        <w:pStyle w:val="Style19"/>
        <w:numPr>
          <w:ilvl w:val="1"/>
          <w:numId w:val="2"/>
        </w:numPr>
        <w:spacing w:lineRule="exact" w:line="540"/>
        <w:ind w:start="480" w:end="0" w:hanging="196"/>
        <w:rPr/>
      </w:pPr>
      <w:r>
        <w:rPr>
          <w:rStyle w:val="Style14"/>
          <w:rFonts w:ascii="標楷體" w:hAnsi="標楷體" w:eastAsia="標楷體"/>
          <w:bCs/>
          <w:color w:val="000000"/>
          <w:sz w:val="28"/>
          <w:szCs w:val="28"/>
        </w:rPr>
        <w:t>執行成本：</w:t>
      </w:r>
      <w:r>
        <w:rPr>
          <w:rStyle w:val="Style14"/>
          <w:rFonts w:ascii="標楷體" w:hAnsi="標楷體" w:eastAsia="標楷體"/>
          <w:bCs/>
          <w:sz w:val="28"/>
          <w:szCs w:val="28"/>
        </w:rPr>
        <w:t>總計耗費</w:t>
      </w:r>
      <w:r>
        <w:rPr>
          <w:rStyle w:val="Style14"/>
          <w:rFonts w:eastAsia="標楷體" w:ascii="標楷體" w:hAnsi="標楷體"/>
          <w:bCs/>
          <w:sz w:val="28"/>
          <w:szCs w:val="28"/>
        </w:rPr>
        <w:t>5</w:t>
      </w:r>
      <w:r>
        <w:rPr>
          <w:rStyle w:val="Style14"/>
          <w:rFonts w:ascii="標楷體" w:hAnsi="標楷體" w:eastAsia="標楷體"/>
          <w:bCs/>
          <w:sz w:val="28"/>
          <w:szCs w:val="28"/>
        </w:rPr>
        <w:t>小時製作，按基本工資</w:t>
      </w:r>
      <w:r>
        <w:rPr>
          <w:rStyle w:val="Style14"/>
          <w:rFonts w:eastAsia="標楷體" w:ascii="標楷體" w:hAnsi="標楷體"/>
          <w:bCs/>
          <w:sz w:val="28"/>
          <w:szCs w:val="28"/>
        </w:rPr>
        <w:t>158</w:t>
      </w:r>
      <w:r>
        <w:rPr>
          <w:rStyle w:val="Style14"/>
          <w:rFonts w:ascii="標楷體" w:hAnsi="標楷體" w:eastAsia="標楷體"/>
          <w:bCs/>
          <w:sz w:val="28"/>
          <w:szCs w:val="28"/>
        </w:rPr>
        <w:t xml:space="preserve">元計算則       </w:t>
      </w:r>
    </w:p>
    <w:p>
      <w:pPr>
        <w:pStyle w:val="Style19"/>
        <w:spacing w:lineRule="exact" w:line="540"/>
        <w:ind w:start="480" w:end="0" w:hanging="0"/>
        <w:rPr>
          <w:rFonts w:ascii="標楷體" w:hAnsi="標楷體" w:eastAsia="標楷體"/>
          <w:bCs/>
          <w:sz w:val="28"/>
          <w:szCs w:val="28"/>
        </w:rPr>
      </w:pPr>
      <w:r>
        <w:rPr>
          <w:rFonts w:ascii="標楷體" w:hAnsi="標楷體" w:eastAsia="標楷體"/>
          <w:bCs/>
          <w:sz w:val="28"/>
          <w:szCs w:val="28"/>
        </w:rPr>
        <w:t xml:space="preserve">  </w:t>
      </w:r>
      <w:r>
        <w:rPr>
          <w:rFonts w:ascii="標楷體" w:hAnsi="標楷體" w:eastAsia="標楷體"/>
          <w:bCs/>
          <w:sz w:val="28"/>
          <w:szCs w:val="28"/>
        </w:rPr>
        <w:t>為</w:t>
      </w:r>
      <w:r>
        <w:rPr>
          <w:rFonts w:eastAsia="標楷體" w:ascii="標楷體" w:hAnsi="標楷體"/>
          <w:bCs/>
          <w:sz w:val="28"/>
          <w:szCs w:val="28"/>
        </w:rPr>
        <w:t>790</w:t>
      </w:r>
      <w:r>
        <w:rPr>
          <w:rFonts w:ascii="標楷體" w:hAnsi="標楷體" w:eastAsia="標楷體"/>
          <w:bCs/>
          <w:sz w:val="28"/>
          <w:szCs w:val="28"/>
        </w:rPr>
        <w:t>元。</w:t>
      </w:r>
    </w:p>
    <w:p>
      <w:pPr>
        <w:pStyle w:val="Style19"/>
        <w:numPr>
          <w:ilvl w:val="0"/>
          <w:numId w:val="0"/>
        </w:numPr>
        <w:tabs>
          <w:tab w:val="left" w:pos="-796" w:leader="none"/>
        </w:tabs>
        <w:spacing w:lineRule="exact" w:line="540" w:before="180" w:after="180"/>
        <w:ind w:start="480" w:end="0" w:hanging="0"/>
        <w:rPr>
          <w:rFonts w:ascii="標楷體" w:hAnsi="標楷體" w:eastAsia="標楷體"/>
          <w:bCs/>
          <w:color w:val="000000"/>
          <w:sz w:val="28"/>
          <w:szCs w:val="28"/>
        </w:rPr>
      </w:pPr>
      <w:r>
        <w:rPr>
          <w:rFonts w:ascii="標楷體" w:hAnsi="標楷體" w:eastAsia="標楷體"/>
          <w:bCs/>
          <w:color w:val="000000"/>
          <w:sz w:val="28"/>
          <w:szCs w:val="28"/>
        </w:rPr>
        <w:t>參、評估效益分析</w:t>
      </w:r>
    </w:p>
    <w:p>
      <w:pPr>
        <w:pStyle w:val="Style19"/>
        <w:widowControl/>
        <w:spacing w:lineRule="exact" w:line="600"/>
        <w:ind w:start="567" w:end="0" w:firstLine="566"/>
        <w:jc w:val="both"/>
        <w:rPr>
          <w:rFonts w:ascii="標楷體" w:hAnsi="標楷體" w:eastAsia="標楷體"/>
          <w:bCs/>
          <w:color w:val="000000"/>
          <w:sz w:val="28"/>
          <w:szCs w:val="28"/>
        </w:rPr>
      </w:pPr>
      <w:r>
        <w:rPr>
          <w:rFonts w:ascii="標楷體" w:hAnsi="標楷體" w:eastAsia="標楷體"/>
          <w:bCs/>
          <w:color w:val="000000"/>
          <w:sz w:val="28"/>
          <w:szCs w:val="28"/>
        </w:rPr>
        <w:t>透過政大學生的參訪回饋表意見進行酌修內容，並因應實價登錄</w:t>
      </w:r>
      <w:r>
        <w:rPr>
          <w:rFonts w:eastAsia="標楷體" w:ascii="標楷體" w:hAnsi="標楷體"/>
          <w:bCs/>
          <w:color w:val="000000"/>
          <w:sz w:val="28"/>
          <w:szCs w:val="28"/>
        </w:rPr>
        <w:t>2.0</w:t>
      </w:r>
      <w:r>
        <w:rPr>
          <w:rFonts w:ascii="標楷體" w:hAnsi="標楷體" w:eastAsia="標楷體"/>
          <w:bCs/>
          <w:color w:val="000000"/>
          <w:sz w:val="28"/>
          <w:szCs w:val="28"/>
        </w:rPr>
        <w:t>新制於表單中加入預售屋相關規定，使客製化表單更加完整，以提供民眾正確之申報資訊。</w:t>
      </w:r>
    </w:p>
    <w:p>
      <w:pPr>
        <w:pStyle w:val="Style19"/>
        <w:widowControl/>
        <w:spacing w:lineRule="exact" w:line="600"/>
        <w:ind w:start="567" w:end="0" w:firstLine="566"/>
        <w:jc w:val="both"/>
        <w:rPr/>
      </w:pPr>
      <w:r>
        <w:rPr>
          <w:rStyle w:val="Style14"/>
          <w:rFonts w:ascii="標楷體" w:hAnsi="標楷體" w:eastAsia="標楷體"/>
          <w:bCs/>
          <w:color w:val="000000"/>
          <w:sz w:val="28"/>
          <w:szCs w:val="28"/>
        </w:rPr>
        <w:t>經統計，</w:t>
      </w:r>
      <w:r>
        <w:rPr>
          <w:rStyle w:val="Style14"/>
          <w:rFonts w:ascii="標楷體" w:hAnsi="標楷體" w:cs="新細明體" w:eastAsia="標楷體"/>
          <w:color w:val="000000"/>
          <w:sz w:val="28"/>
          <w:szCs w:val="28"/>
        </w:rPr>
        <w:t>本所每日約有</w:t>
      </w:r>
      <w:r>
        <w:rPr>
          <w:rStyle w:val="Style14"/>
          <w:rFonts w:eastAsia="標楷體" w:cs="新細明體" w:ascii="標楷體" w:hAnsi="標楷體"/>
          <w:color w:val="000000"/>
          <w:sz w:val="28"/>
          <w:szCs w:val="28"/>
        </w:rPr>
        <w:t>25</w:t>
      </w:r>
      <w:r>
        <w:rPr>
          <w:rStyle w:val="Style14"/>
          <w:rFonts w:ascii="標楷體" w:hAnsi="標楷體" w:cs="新細明體" w:eastAsia="標楷體"/>
          <w:color w:val="000000"/>
          <w:sz w:val="28"/>
          <w:szCs w:val="28"/>
        </w:rPr>
        <w:t>位民眾具有協助申報實價登錄之需求，倘以民眾每案來回時間</w:t>
      </w:r>
      <w:r>
        <w:rPr>
          <w:rStyle w:val="Style14"/>
          <w:rFonts w:eastAsia="標楷體" w:cs="新細明體" w:ascii="標楷體" w:hAnsi="標楷體"/>
          <w:color w:val="000000"/>
          <w:sz w:val="28"/>
          <w:szCs w:val="28"/>
        </w:rPr>
        <w:t>1</w:t>
      </w:r>
      <w:r>
        <w:rPr>
          <w:rStyle w:val="Style14"/>
          <w:rFonts w:ascii="標楷體" w:hAnsi="標楷體" w:cs="新細明體" w:eastAsia="標楷體"/>
          <w:color w:val="000000"/>
          <w:sz w:val="28"/>
          <w:szCs w:val="28"/>
        </w:rPr>
        <w:t>小時至本所實價登錄櫃臺詢問申報相關事宜，本創新服務再精進共計節省約</w:t>
      </w:r>
      <w:r>
        <w:rPr>
          <w:rStyle w:val="Style14"/>
          <w:rFonts w:eastAsia="標楷體" w:cs="新細明體" w:ascii="標楷體" w:hAnsi="標楷體"/>
          <w:color w:val="000000"/>
          <w:sz w:val="28"/>
          <w:szCs w:val="28"/>
        </w:rPr>
        <w:t>25</w:t>
      </w:r>
      <w:r>
        <w:rPr>
          <w:rStyle w:val="Style14"/>
          <w:rFonts w:ascii="標楷體" w:hAnsi="標楷體" w:cs="新細明體" w:eastAsia="標楷體"/>
          <w:color w:val="000000"/>
          <w:sz w:val="28"/>
          <w:szCs w:val="28"/>
        </w:rPr>
        <w:t>小時，能有效</w:t>
      </w:r>
      <w:r>
        <w:rPr>
          <w:rStyle w:val="Style14"/>
          <w:rFonts w:ascii="標楷體" w:hAnsi="標楷體" w:cs="新細明體" w:eastAsia="標楷體"/>
          <w:kern w:val="0"/>
          <w:sz w:val="28"/>
          <w:szCs w:val="28"/>
        </w:rPr>
        <w:t>減短民眾到所辦理之交通成本及等待時間</w:t>
      </w:r>
      <w:r>
        <w:rPr>
          <w:rStyle w:val="Style14"/>
          <w:rFonts w:ascii="標楷體" w:hAnsi="標楷體" w:cs="新細明體" w:eastAsia="標楷體"/>
          <w:color w:val="000000"/>
          <w:sz w:val="28"/>
          <w:szCs w:val="28"/>
        </w:rPr>
        <w:t>。另外，倘以服務每一民眾</w:t>
      </w:r>
      <w:r>
        <w:rPr>
          <w:rStyle w:val="Style14"/>
          <w:rFonts w:eastAsia="標楷體" w:cs="新細明體" w:ascii="標楷體" w:hAnsi="標楷體"/>
          <w:color w:val="000000"/>
          <w:sz w:val="28"/>
          <w:szCs w:val="28"/>
        </w:rPr>
        <w:t>10</w:t>
      </w:r>
      <w:r>
        <w:rPr>
          <w:rStyle w:val="Style14"/>
          <w:rFonts w:ascii="標楷體" w:hAnsi="標楷體" w:cs="新細明體" w:eastAsia="標楷體"/>
          <w:color w:val="000000"/>
          <w:sz w:val="28"/>
          <w:szCs w:val="28"/>
        </w:rPr>
        <w:t>分鐘方式計算，透過本案創新再精進服務則得節省櫃檯人員及地價承辦約</w:t>
      </w:r>
      <w:r>
        <w:rPr>
          <w:rStyle w:val="Style14"/>
          <w:rFonts w:eastAsia="標楷體" w:cs="新細明體" w:ascii="標楷體" w:hAnsi="標楷體"/>
          <w:color w:val="000000"/>
          <w:sz w:val="28"/>
          <w:szCs w:val="28"/>
        </w:rPr>
        <w:t>250</w:t>
      </w:r>
      <w:r>
        <w:rPr>
          <w:rStyle w:val="Style14"/>
          <w:rFonts w:ascii="標楷體" w:hAnsi="標楷體" w:cs="新細明體" w:eastAsia="標楷體"/>
          <w:color w:val="000000"/>
          <w:sz w:val="28"/>
          <w:szCs w:val="28"/>
        </w:rPr>
        <w:t>分鐘之成效，有形及無形效益皆為顯著。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600" w:charSpace="429493862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swiss"/>
    <w:pitch w:val="variable"/>
  </w:font>
  <w:font w:name="標楷體">
    <w:charset w:val="88"/>
    <w:family w:val="script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ideographLegalTraditional"/>
      <w:suff w:val="nothing"/>
      <w:lvlText w:val="%1、"/>
      <w:lvlJc w:val="start"/>
      <w:pPr>
        <w:tabs>
          <w:tab w:val="num" w:pos="0"/>
        </w:tabs>
        <w:ind w:start="480" w:hanging="480"/>
      </w:pPr>
      <w:rPr>
        <w:color w:val="auto"/>
      </w:rPr>
    </w:lvl>
    <w:lvl w:ilvl="1">
      <w:start w:val="1"/>
      <w:numFmt w:val="decimal"/>
      <w:lvlText w:val="%2、"/>
      <w:lvlJc w:val="start"/>
      <w:pPr>
        <w:tabs>
          <w:tab w:val="num" w:pos="0"/>
        </w:tabs>
        <w:ind w:start="960" w:hanging="48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1440" w:hanging="4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1920" w:hanging="480"/>
      </w:pPr>
    </w:lvl>
    <w:lvl w:ilvl="4">
      <w:start w:val="1"/>
      <w:numFmt w:val="ideographTraditional"/>
      <w:lvlText w:val="%5、"/>
      <w:lvlJc w:val="start"/>
      <w:pPr>
        <w:tabs>
          <w:tab w:val="num" w:pos="0"/>
        </w:tabs>
        <w:ind w:start="2400" w:hanging="48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2880" w:hanging="4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3360" w:hanging="480"/>
      </w:pPr>
    </w:lvl>
    <w:lvl w:ilvl="7">
      <w:start w:val="1"/>
      <w:numFmt w:val="ideographTraditional"/>
      <w:lvlText w:val="%8、"/>
      <w:lvlJc w:val="start"/>
      <w:pPr>
        <w:tabs>
          <w:tab w:val="num" w:pos="0"/>
        </w:tabs>
        <w:ind w:start="3840" w:hanging="48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4320" w:hanging="480"/>
      </w:pPr>
    </w:lvl>
  </w:abstractNum>
  <w:abstractNum w:abstractNumId="2">
    <w:lvl w:ilvl="0">
      <w:start w:val="1"/>
      <w:numFmt w:val="decimal"/>
      <w:lvlText w:val="%1、"/>
      <w:lvlJc w:val="start"/>
      <w:pPr>
        <w:tabs>
          <w:tab w:val="num" w:pos="0"/>
        </w:tabs>
        <w:ind w:start="958" w:hanging="480"/>
      </w:pPr>
    </w:lvl>
    <w:lvl w:ilvl="1">
      <w:start w:val="1"/>
      <w:numFmt w:val="decimal"/>
      <w:suff w:val="nothing"/>
      <w:lvlText w:val="%2、"/>
      <w:lvlJc w:val="start"/>
      <w:pPr>
        <w:tabs>
          <w:tab w:val="num" w:pos="0"/>
        </w:tabs>
        <w:ind w:start="480" w:hanging="48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1918" w:hanging="4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398" w:hanging="480"/>
      </w:pPr>
    </w:lvl>
    <w:lvl w:ilvl="4">
      <w:start w:val="1"/>
      <w:numFmt w:val="ideographTraditional"/>
      <w:lvlText w:val="%5、"/>
      <w:lvlJc w:val="start"/>
      <w:pPr>
        <w:tabs>
          <w:tab w:val="num" w:pos="0"/>
        </w:tabs>
        <w:ind w:start="2878" w:hanging="48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3358" w:hanging="4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3838" w:hanging="480"/>
      </w:pPr>
    </w:lvl>
    <w:lvl w:ilvl="7">
      <w:start w:val="1"/>
      <w:numFmt w:val="ideographTraditional"/>
      <w:lvlText w:val="%8、"/>
      <w:lvlJc w:val="start"/>
      <w:pPr>
        <w:tabs>
          <w:tab w:val="num" w:pos="0"/>
        </w:tabs>
        <w:ind w:start="4318" w:hanging="48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4798" w:hanging="48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Times New Roman"/>
        <w:kern w:val="2"/>
        <w:sz w:val="24"/>
        <w:szCs w:val="22"/>
        <w:lang w:val="en-US" w:eastAsia="zh-TW" w:bidi="ar-SA"/>
      </w:rPr>
    </w:rPrDefault>
    <w:pPrDefault>
      <w:pPr>
        <w:widowControl/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kinsoku w:val="true"/>
      <w:overflowPunct w:val="true"/>
      <w:autoSpaceDE w:val="true"/>
      <w:bidi w:val="0"/>
      <w:snapToGrid w:val="true"/>
      <w:spacing w:lineRule="auto" w:line="240"/>
      <w:jc w:val="start"/>
    </w:pPr>
    <w:rPr>
      <w:rFonts w:ascii="Calibri" w:hAnsi="Calibri" w:eastAsia="新細明體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2"/>
      <w:u w:val="none"/>
      <w:shd w:fill="auto" w:val="clear"/>
      <w:vertAlign w:val="baseline"/>
      <w:em w:val="none"/>
      <w:lang w:val="en-US" w:eastAsia="zh-TW" w:bidi="ar-SA"/>
    </w:rPr>
  </w:style>
  <w:style w:type="character" w:styleId="Style14">
    <w:name w:val="預設段落字型"/>
    <w:qFormat/>
    <w:rPr/>
  </w:style>
  <w:style w:type="character" w:styleId="Style15">
    <w:name w:val="頁首 字元"/>
    <w:basedOn w:val="Style14"/>
    <w:qFormat/>
    <w:rPr>
      <w:sz w:val="20"/>
      <w:szCs w:val="20"/>
    </w:rPr>
  </w:style>
  <w:style w:type="character" w:styleId="Style16">
    <w:name w:val="頁尾 字元"/>
    <w:basedOn w:val="Style14"/>
    <w:qFormat/>
    <w:rPr>
      <w:sz w:val="20"/>
      <w:szCs w:val="20"/>
    </w:rPr>
  </w:style>
  <w:style w:type="character" w:styleId="Style17">
    <w:name w:val="清單段落 字元"/>
    <w:basedOn w:val="Style14"/>
    <w:qFormat/>
    <w:rPr/>
  </w:style>
  <w:style w:type="character" w:styleId="WWCharLFO1LVL1">
    <w:name w:val="WW_CharLFO1LVL1"/>
    <w:qFormat/>
    <w:rPr>
      <w:color w:val="auto"/>
    </w:rPr>
  </w:style>
  <w:style w:type="paragraph" w:styleId="Style18">
    <w:name w:val="Body Text"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start"/>
    </w:pPr>
    <w:rPr>
      <w:rFonts w:ascii="Calibri" w:hAnsi="Calibri" w:eastAsia="新細明體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2"/>
      <w:u w:val="none"/>
      <w:shd w:fill="auto" w:val="clear"/>
      <w:vertAlign w:val="baseline"/>
      <w:em w:val="none"/>
      <w:lang w:val="en-US" w:eastAsia="zh-TW" w:bidi="ar-SA"/>
    </w:rPr>
  </w:style>
  <w:style w:type="paragraph" w:styleId="Style19">
    <w:name w:val="清單段落"/>
    <w:basedOn w:val="Style18"/>
    <w:qFormat/>
    <w:pPr>
      <w:tabs>
        <w:tab w:val="clear" w:pos="480"/>
      </w:tabs>
      <w:suppressAutoHyphens w:val="true"/>
      <w:ind w:start="480" w:end="0" w:hanging="0"/>
    </w:pPr>
    <w:rPr/>
  </w:style>
  <w:style w:type="paragraph" w:styleId="Style20">
    <w:name w:val="頁首與頁尾"/>
    <w:basedOn w:val="Normal"/>
    <w:qFormat/>
    <w:pPr>
      <w:suppressLineNumbers/>
      <w:tabs>
        <w:tab w:val="clear" w:pos="480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Style18"/>
    <w:pPr>
      <w:tabs>
        <w:tab w:val="clear" w:pos="480"/>
        <w:tab w:val="center" w:pos="4153" w:leader="none"/>
        <w:tab w:val="right" w:pos="8306" w:leader="none"/>
      </w:tabs>
      <w:suppressAutoHyphens w:val="true"/>
      <w:snapToGrid w:val="false"/>
    </w:pPr>
    <w:rPr>
      <w:sz w:val="20"/>
      <w:szCs w:val="20"/>
    </w:rPr>
  </w:style>
  <w:style w:type="paragraph" w:styleId="Style22">
    <w:name w:val="Footer"/>
    <w:basedOn w:val="Style18"/>
    <w:pPr>
      <w:tabs>
        <w:tab w:val="clear" w:pos="480"/>
        <w:tab w:val="center" w:pos="4153" w:leader="none"/>
        <w:tab w:val="right" w:pos="8306" w:leader="none"/>
      </w:tabs>
      <w:suppressAutoHyphens w:val="true"/>
      <w:snapToGrid w:val="false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LibreOffice/7.1.6.2$Windows_x86 LibreOffice_project/0e133318fcee89abacd6a7d077e292f1145735c3</Application>
  <AppVersion>15.0000</AppVersion>
  <Pages>2</Pages>
  <Words>624</Words>
  <Characters>652</Characters>
  <CharactersWithSpaces>664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2022-04-13T02:07:00Z</dcterms:created>
  <dc:creator>林芷廷</dc:creator>
  <dc:description/>
  <dc:language>zh-TW</dc:language>
  <cp:lastModifiedBy/>
  <dcterms:modified xsi:type="dcterms:W3CDTF">2022-04-13T14:55:55Z</dcterms:modified>
  <cp:revision>4</cp:revision>
  <dc:subject/>
  <dc:title/>
</cp:coreProperties>
</file>