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1F1916" w:rsidP="00C6554A">
      <w:pPr>
        <w:pStyle w:val="Title"/>
      </w:pPr>
      <w:r>
        <w:t>Home Depot</w:t>
      </w:r>
    </w:p>
    <w:p w:rsidR="00C6554A" w:rsidRPr="00D5413C" w:rsidRDefault="00982BF7" w:rsidP="00C6554A">
      <w:pPr>
        <w:pStyle w:val="Subtitle"/>
      </w:pPr>
      <w:r>
        <w:t>Case Study report</w:t>
      </w:r>
    </w:p>
    <w:p w:rsidR="001F1916" w:rsidRDefault="00982BF7" w:rsidP="00C6554A">
      <w:pPr>
        <w:pStyle w:val="ContactInfo"/>
      </w:pPr>
      <w:r>
        <w:t>Yu-Min Wang</w:t>
      </w:r>
      <w:r w:rsidR="00C6554A">
        <w:t xml:space="preserve"> | </w:t>
      </w:r>
      <w:r>
        <w:t>MKT 6301.502</w:t>
      </w:r>
      <w:r w:rsidR="00C6554A">
        <w:t xml:space="preserve"> |</w:t>
      </w:r>
      <w:r w:rsidR="00C6554A" w:rsidRPr="00D5413C">
        <w:t xml:space="preserve"> </w:t>
      </w:r>
      <w:r w:rsidR="001F1916">
        <w:t>Feb.28</w:t>
      </w:r>
    </w:p>
    <w:p w:rsidR="00C6554A" w:rsidRDefault="00C6554A" w:rsidP="00C6554A">
      <w:pPr>
        <w:pStyle w:val="ContactInfo"/>
      </w:pPr>
      <w:r>
        <w:br w:type="page"/>
      </w:r>
    </w:p>
    <w:p w:rsidR="00C6554A" w:rsidRDefault="00D924F6" w:rsidP="00C6554A">
      <w:pPr>
        <w:pStyle w:val="Heading1"/>
      </w:pPr>
      <w:r>
        <w:lastRenderedPageBreak/>
        <w:t>Key Marketing Issue</w:t>
      </w:r>
    </w:p>
    <w:p w:rsidR="00A6213D" w:rsidRPr="001D3458" w:rsidRDefault="00306468" w:rsidP="003E7997">
      <w:pPr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1F1916">
        <w:rPr>
          <w:sz w:val="24"/>
          <w:szCs w:val="24"/>
        </w:rPr>
        <w:t xml:space="preserve">modify the company’s strategy after </w:t>
      </w:r>
      <w:r w:rsidR="008F6C5C">
        <w:rPr>
          <w:sz w:val="24"/>
          <w:szCs w:val="24"/>
        </w:rPr>
        <w:t>resignation of CEO Nardelli</w:t>
      </w:r>
      <w:r w:rsidR="002B09F1">
        <w:rPr>
          <w:sz w:val="24"/>
          <w:szCs w:val="24"/>
        </w:rPr>
        <w:t xml:space="preserve"> </w:t>
      </w:r>
      <w:r w:rsidR="001F1916">
        <w:rPr>
          <w:sz w:val="24"/>
          <w:szCs w:val="24"/>
        </w:rPr>
        <w:t xml:space="preserve">to keep the company’s core </w:t>
      </w:r>
      <w:r w:rsidR="00B721BF">
        <w:rPr>
          <w:sz w:val="24"/>
          <w:szCs w:val="24"/>
        </w:rPr>
        <w:t>competence? Which part should change, which part retained</w:t>
      </w:r>
      <w:r w:rsidR="001F1916">
        <w:rPr>
          <w:sz w:val="24"/>
          <w:szCs w:val="24"/>
        </w:rPr>
        <w:t xml:space="preserve">?   </w:t>
      </w:r>
    </w:p>
    <w:p w:rsidR="00D924F6" w:rsidRDefault="00D924F6" w:rsidP="00D924F6">
      <w:pPr>
        <w:pStyle w:val="Heading1"/>
      </w:pPr>
      <w:r>
        <w:t xml:space="preserve">Alternative Solution A </w:t>
      </w:r>
    </w:p>
    <w:p w:rsidR="00D924F6" w:rsidRDefault="001F1916" w:rsidP="00D51605">
      <w:r>
        <w:t xml:space="preserve">To follow Nardelli’s </w:t>
      </w:r>
      <w:r w:rsidR="00F21DEC">
        <w:t xml:space="preserve">military </w:t>
      </w:r>
      <w:r>
        <w:t>management style</w:t>
      </w:r>
      <w:r w:rsidR="00F21DEC">
        <w:t xml:space="preserve"> which is</w:t>
      </w:r>
      <w:r w:rsidR="00B230D4">
        <w:t xml:space="preserve"> like</w:t>
      </w:r>
      <w:r w:rsidR="00F21DEC">
        <w:t xml:space="preserve"> command and control, rate and </w:t>
      </w:r>
      <w:r>
        <w:t>f</w:t>
      </w:r>
      <w:r w:rsidR="00F21DEC">
        <w:t>ire, number centric</w:t>
      </w:r>
      <w:r w:rsidR="0058287C">
        <w:t xml:space="preserve"> rather than human centric</w:t>
      </w:r>
      <w:r>
        <w:t xml:space="preserve">. </w:t>
      </w:r>
      <w:r w:rsidR="008E758E">
        <w:t xml:space="preserve"> </w:t>
      </w:r>
      <w:r w:rsidR="00D51605">
        <w:t xml:space="preserve"> </w:t>
      </w:r>
    </w:p>
    <w:p w:rsidR="00D924F6" w:rsidRPr="00D5413C" w:rsidRDefault="00D924F6" w:rsidP="00D924F6">
      <w:pPr>
        <w:pStyle w:val="Heading2"/>
      </w:pPr>
      <w:r>
        <w:t>Pros</w:t>
      </w:r>
    </w:p>
    <w:p w:rsidR="00AE6BB8" w:rsidRDefault="00AE6BB8" w:rsidP="00D51605">
      <w:pPr>
        <w:pStyle w:val="ListBullet"/>
        <w:numPr>
          <w:ilvl w:val="0"/>
          <w:numId w:val="1"/>
        </w:numPr>
      </w:pPr>
      <w:r>
        <w:t xml:space="preserve">Easy to implement. </w:t>
      </w:r>
    </w:p>
    <w:p w:rsidR="00AE6BB8" w:rsidRDefault="00F21DEC" w:rsidP="00D51605">
      <w:pPr>
        <w:pStyle w:val="ListBullet"/>
        <w:numPr>
          <w:ilvl w:val="0"/>
          <w:numId w:val="1"/>
        </w:numPr>
      </w:pPr>
      <w:r>
        <w:t>Everything is quantified</w:t>
      </w:r>
      <w:r w:rsidR="00AE6BB8">
        <w:t xml:space="preserve">. </w:t>
      </w:r>
    </w:p>
    <w:p w:rsidR="00AE6BB8" w:rsidRDefault="00F21DEC" w:rsidP="00D51605">
      <w:pPr>
        <w:pStyle w:val="ListBullet"/>
        <w:numPr>
          <w:ilvl w:val="0"/>
          <w:numId w:val="1"/>
        </w:numPr>
      </w:pPr>
      <w:r>
        <w:t>Easy to manage</w:t>
      </w:r>
      <w:r w:rsidR="00AE6BB8">
        <w:t xml:space="preserve">. </w:t>
      </w:r>
    </w:p>
    <w:p w:rsidR="00CF082A" w:rsidRPr="00D5413C" w:rsidRDefault="00CF082A" w:rsidP="00CF082A">
      <w:pPr>
        <w:pStyle w:val="Heading2"/>
      </w:pPr>
      <w:r>
        <w:t>cons</w:t>
      </w:r>
    </w:p>
    <w:p w:rsidR="00382FC6" w:rsidRDefault="00F21DEC" w:rsidP="00147E9F">
      <w:pPr>
        <w:pStyle w:val="ListBullet"/>
        <w:numPr>
          <w:ilvl w:val="0"/>
          <w:numId w:val="1"/>
        </w:numPr>
      </w:pPr>
      <w:r>
        <w:t>Low morale of employees.</w:t>
      </w:r>
    </w:p>
    <w:p w:rsidR="00F21DEC" w:rsidRDefault="00F21DEC" w:rsidP="00147E9F">
      <w:pPr>
        <w:pStyle w:val="ListBullet"/>
        <w:numPr>
          <w:ilvl w:val="0"/>
          <w:numId w:val="1"/>
        </w:numPr>
      </w:pPr>
      <w:r>
        <w:t>Low customer’</w:t>
      </w:r>
      <w:r w:rsidR="005759A2">
        <w:t>s satisfac</w:t>
      </w:r>
      <w:r>
        <w:t>tion</w:t>
      </w:r>
      <w:r w:rsidR="00A31556">
        <w:t>.</w:t>
      </w:r>
    </w:p>
    <w:p w:rsidR="00CF082A" w:rsidRDefault="00F21DEC" w:rsidP="00147E9F">
      <w:pPr>
        <w:pStyle w:val="ListBullet"/>
        <w:numPr>
          <w:ilvl w:val="0"/>
          <w:numId w:val="1"/>
        </w:numPr>
      </w:pPr>
      <w:r>
        <w:t>Low stock price.</w:t>
      </w:r>
      <w:r w:rsidR="00A31556">
        <w:t xml:space="preserve"> </w:t>
      </w:r>
      <w:r w:rsidR="005743CC">
        <w:t xml:space="preserve"> </w:t>
      </w:r>
      <w:r w:rsidR="00D92A77">
        <w:t xml:space="preserve"> </w:t>
      </w:r>
    </w:p>
    <w:p w:rsidR="00237CB6" w:rsidRDefault="00237CB6" w:rsidP="00237CB6">
      <w:pPr>
        <w:pStyle w:val="Heading1"/>
      </w:pPr>
      <w:r>
        <w:t xml:space="preserve">Alternative Solution B </w:t>
      </w:r>
    </w:p>
    <w:p w:rsidR="00237CB6" w:rsidRDefault="00B433BB" w:rsidP="00237CB6">
      <w:r>
        <w:t xml:space="preserve">To </w:t>
      </w:r>
      <w:r w:rsidR="00F21DEC">
        <w:t xml:space="preserve">modify Nardelli’s management </w:t>
      </w:r>
      <w:r w:rsidR="00A408C2">
        <w:t xml:space="preserve">and </w:t>
      </w:r>
      <w:r w:rsidR="00F21DEC">
        <w:t>strategy</w:t>
      </w:r>
      <w:r w:rsidR="005759A2">
        <w:t xml:space="preserve">, </w:t>
      </w:r>
      <w:r w:rsidR="00F21DEC">
        <w:t>returning to customer oriented and staff oriented</w:t>
      </w:r>
      <w:r w:rsidR="00147E9F">
        <w:t xml:space="preserve">.  </w:t>
      </w:r>
      <w:r w:rsidR="00D03845">
        <w:t xml:space="preserve"> </w:t>
      </w:r>
      <w:r w:rsidR="00237CB6">
        <w:t xml:space="preserve"> </w:t>
      </w:r>
    </w:p>
    <w:p w:rsidR="00237CB6" w:rsidRPr="00D5413C" w:rsidRDefault="00237CB6" w:rsidP="00237CB6">
      <w:pPr>
        <w:pStyle w:val="Heading2"/>
      </w:pPr>
      <w:r>
        <w:t>Pros</w:t>
      </w:r>
    </w:p>
    <w:p w:rsidR="00F95006" w:rsidRDefault="005759A2" w:rsidP="00237CB6">
      <w:pPr>
        <w:pStyle w:val="ListBullet"/>
        <w:numPr>
          <w:ilvl w:val="0"/>
          <w:numId w:val="1"/>
        </w:numPr>
      </w:pPr>
      <w:r>
        <w:t>Return to the core value of DIY market : customer satisfaction</w:t>
      </w:r>
      <w:r w:rsidR="00F95006">
        <w:t xml:space="preserve"> </w:t>
      </w:r>
    </w:p>
    <w:p w:rsidR="005759A2" w:rsidRDefault="0058287C" w:rsidP="005759A2">
      <w:pPr>
        <w:pStyle w:val="ListBullet"/>
        <w:numPr>
          <w:ilvl w:val="0"/>
          <w:numId w:val="1"/>
        </w:numPr>
      </w:pPr>
      <w:r>
        <w:t>Happy employees</w:t>
      </w:r>
      <w:r w:rsidR="005759A2">
        <w:t xml:space="preserve">, happy customers, happy investors. </w:t>
      </w:r>
    </w:p>
    <w:p w:rsidR="00237CB6" w:rsidRPr="00D5413C" w:rsidRDefault="00237CB6" w:rsidP="00237CB6">
      <w:pPr>
        <w:pStyle w:val="Heading2"/>
      </w:pPr>
      <w:r>
        <w:t>cons</w:t>
      </w:r>
    </w:p>
    <w:p w:rsidR="00237CB6" w:rsidRDefault="0058287C" w:rsidP="00237CB6">
      <w:pPr>
        <w:pStyle w:val="ListBullet"/>
        <w:numPr>
          <w:ilvl w:val="0"/>
          <w:numId w:val="1"/>
        </w:numPr>
      </w:pPr>
      <w:r>
        <w:t>Change again</w:t>
      </w:r>
      <w:r w:rsidR="00237CB6">
        <w:t xml:space="preserve">. </w:t>
      </w:r>
    </w:p>
    <w:p w:rsidR="00D924F6" w:rsidRDefault="00D924F6" w:rsidP="00D924F6">
      <w:pPr>
        <w:pStyle w:val="Heading1"/>
      </w:pPr>
      <w:r>
        <w:t xml:space="preserve">Recommendation </w:t>
      </w:r>
    </w:p>
    <w:p w:rsidR="00D924F6" w:rsidRDefault="00B36256" w:rsidP="00B36256">
      <w:r>
        <w:t xml:space="preserve">Solution B </w:t>
      </w:r>
      <w:r w:rsidR="006B153D">
        <w:t>is recommended</w:t>
      </w:r>
    </w:p>
    <w:p w:rsidR="00D924F6" w:rsidRPr="00D5413C" w:rsidRDefault="00D924F6" w:rsidP="00BB2B52">
      <w:pPr>
        <w:pStyle w:val="Heading2"/>
      </w:pPr>
      <w:r>
        <w:lastRenderedPageBreak/>
        <w:t>Q</w:t>
      </w:r>
      <w:r w:rsidR="002163D9">
        <w:t>uantitative</w:t>
      </w:r>
      <w:r w:rsidR="00925382">
        <w:t xml:space="preserve"> analysis</w:t>
      </w:r>
    </w:p>
    <w:p w:rsidR="00756547" w:rsidRDefault="000B3AF6" w:rsidP="000A2D05">
      <w:pPr>
        <w:pStyle w:val="ListBullet"/>
        <w:numPr>
          <w:ilvl w:val="0"/>
          <w:numId w:val="1"/>
        </w:numPr>
      </w:pPr>
      <w:r>
        <w:t>From Exhibit 6</w:t>
      </w:r>
      <w:r w:rsidR="008472B8">
        <w:t xml:space="preserve"> and Exhibit</w:t>
      </w:r>
      <w:r>
        <w:t xml:space="preserve"> 7</w:t>
      </w:r>
      <w:r w:rsidR="006F3AAD">
        <w:t xml:space="preserve">, we find </w:t>
      </w:r>
      <w:r w:rsidR="00D75347">
        <w:t xml:space="preserve">Nardelli’s emphasis on HD Supply will be a disaster. Since the number of new </w:t>
      </w:r>
      <w:r w:rsidR="00756547">
        <w:t xml:space="preserve">household sold </w:t>
      </w:r>
      <w:r w:rsidR="00A37EC3">
        <w:t xml:space="preserve">(started) </w:t>
      </w:r>
      <w:r w:rsidR="00756547">
        <w:t xml:space="preserve">dropped dramatically </w:t>
      </w:r>
      <w:r w:rsidR="00A37EC3">
        <w:t>after</w:t>
      </w:r>
      <w:r w:rsidR="00756547">
        <w:t xml:space="preserve"> 2005, </w:t>
      </w:r>
      <w:r w:rsidR="006F3AAD">
        <w:t xml:space="preserve">the </w:t>
      </w:r>
      <w:r w:rsidR="00756547">
        <w:t xml:space="preserve">demand of </w:t>
      </w:r>
      <w:r w:rsidR="00A408C2">
        <w:t xml:space="preserve">real estate developers and contractors </w:t>
      </w:r>
      <w:r w:rsidR="00756547">
        <w:t xml:space="preserve">will plunge. </w:t>
      </w:r>
    </w:p>
    <w:p w:rsidR="00756547" w:rsidRDefault="00756547" w:rsidP="000A2D05">
      <w:pPr>
        <w:pStyle w:val="ListBullet"/>
        <w:numPr>
          <w:ilvl w:val="0"/>
          <w:numId w:val="1"/>
        </w:numPr>
      </w:pPr>
      <w:r>
        <w:t>What the analysts challenged Nardelli is this : before Nardelli, HD’s same store growth rate was higher than Lowe’s, during Nardelli</w:t>
      </w:r>
      <w:r w:rsidR="00B230D4">
        <w:t>’s era</w:t>
      </w:r>
      <w:r>
        <w:t xml:space="preserve"> it became lower.</w:t>
      </w:r>
    </w:p>
    <w:p w:rsidR="00D526FE" w:rsidRDefault="00756547" w:rsidP="00756547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C52B02D" wp14:editId="0F850EC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E265D7-0FBC-4B70-884B-4928FAF1EC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  <w:r w:rsidR="009E144C">
        <w:t xml:space="preserve"> </w:t>
      </w:r>
    </w:p>
    <w:p w:rsidR="00A37EC3" w:rsidRDefault="00A37EC3" w:rsidP="00A37EC3">
      <w:pPr>
        <w:pStyle w:val="ListBullet"/>
        <w:numPr>
          <w:ilvl w:val="0"/>
          <w:numId w:val="0"/>
        </w:numPr>
        <w:ind w:left="720"/>
      </w:pPr>
      <w:r>
        <w:t xml:space="preserve">The lower and negative growth rates caused the following result. In 1997, HD’s  sales per store </w:t>
      </w:r>
      <w:r w:rsidR="007B6ECB">
        <w:t>was almost twice of</w:t>
      </w:r>
      <w:r>
        <w:t xml:space="preserve"> Lowe’s, but in 2006 they approached.</w:t>
      </w:r>
    </w:p>
    <w:p w:rsidR="00A37EC3" w:rsidRDefault="00A37EC3" w:rsidP="00A37EC3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05B678B" wp14:editId="0E1BF66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8E8DF57-D881-4885-8C96-54F4E01B5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E144C" w:rsidRDefault="000C5E1B" w:rsidP="00D526FE">
      <w:pPr>
        <w:pStyle w:val="ListBullet"/>
        <w:numPr>
          <w:ilvl w:val="0"/>
          <w:numId w:val="1"/>
        </w:numPr>
      </w:pPr>
      <w:r>
        <w:lastRenderedPageBreak/>
        <w:t xml:space="preserve">The following chart shows another defeat of Nardelli. Before 2000, HD’s </w:t>
      </w:r>
      <w:r w:rsidR="000D02D2">
        <w:t xml:space="preserve">number of </w:t>
      </w:r>
      <w:r>
        <w:t>transaction</w:t>
      </w:r>
      <w:r w:rsidR="000D02D2">
        <w:t xml:space="preserve"> per store was almost twice of Lowe’s, in 2006 the numbers approached. As for average customer ticket, HD was always lower than Lowe’s. However</w:t>
      </w:r>
      <w:r w:rsidR="00A37EC3">
        <w:t>,</w:t>
      </w:r>
      <w:r w:rsidR="000D02D2">
        <w:t xml:space="preserve"> the gap enlarged during Nardelli</w:t>
      </w:r>
      <w:r w:rsidR="003C6FAC">
        <w:t>’s</w:t>
      </w:r>
      <w:r w:rsidR="000D02D2">
        <w:t>.</w:t>
      </w:r>
      <w:r w:rsidR="007B6ECB">
        <w:t xml:space="preserve"> (This shows customers are getting away from HD)</w:t>
      </w:r>
    </w:p>
    <w:p w:rsidR="000C5E1B" w:rsidRDefault="00EC3642" w:rsidP="000C5E1B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6547DF1" wp14:editId="2CBE678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4E7CC8A-45D5-458F-B0F1-3658772BE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5" w:name="_GoBack"/>
      <w:bookmarkEnd w:id="5"/>
    </w:p>
    <w:p w:rsidR="000D02D2" w:rsidRDefault="000D02D2" w:rsidP="000A2D05">
      <w:pPr>
        <w:pStyle w:val="ListBullet"/>
        <w:numPr>
          <w:ilvl w:val="0"/>
          <w:numId w:val="1"/>
        </w:numPr>
      </w:pPr>
      <w:r>
        <w:t>The 3</w:t>
      </w:r>
      <w:r w:rsidRPr="000D02D2">
        <w:rPr>
          <w:vertAlign w:val="superscript"/>
        </w:rPr>
        <w:t>rd</w:t>
      </w:r>
      <w:r>
        <w:t xml:space="preserve"> defe</w:t>
      </w:r>
      <w:r w:rsidR="00A37EC3">
        <w:t xml:space="preserve">at. </w:t>
      </w:r>
      <w:r>
        <w:t>Lowe’s margin rate became higher</w:t>
      </w:r>
      <w:r w:rsidR="00A37EC3">
        <w:t xml:space="preserve"> during Nardelli’s</w:t>
      </w:r>
      <w:r w:rsidR="00ED1559">
        <w:t xml:space="preserve"> era</w:t>
      </w:r>
      <w:r>
        <w:t xml:space="preserve">. </w:t>
      </w:r>
    </w:p>
    <w:p w:rsidR="000D02D2" w:rsidRDefault="000D02D2" w:rsidP="000D02D2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BCB9C11" wp14:editId="2DF061E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3A34A1B-B5D1-4777-846B-C1048C0A25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C5F81" w:rsidRPr="00D5413C" w:rsidRDefault="00DC5F81" w:rsidP="00DC5F81">
      <w:pPr>
        <w:pStyle w:val="Heading2"/>
      </w:pPr>
      <w:r>
        <w:t>QuaLitative analysis</w:t>
      </w:r>
    </w:p>
    <w:p w:rsidR="00F15680" w:rsidRDefault="00F15680" w:rsidP="00D04BCC">
      <w:pPr>
        <w:pStyle w:val="ListBullet"/>
        <w:numPr>
          <w:ilvl w:val="0"/>
          <w:numId w:val="1"/>
        </w:numPr>
      </w:pPr>
      <w:r>
        <w:t xml:space="preserve">The above </w:t>
      </w:r>
      <w:r w:rsidR="00BA039C">
        <w:t>charts show</w:t>
      </w:r>
      <w:r>
        <w:t xml:space="preserve"> the reasons of poor stock price, and the reasons of Nardelli’s resignation. </w:t>
      </w:r>
    </w:p>
    <w:p w:rsidR="00F15680" w:rsidRDefault="00F15680" w:rsidP="00D04BCC">
      <w:pPr>
        <w:pStyle w:val="ListBullet"/>
        <w:numPr>
          <w:ilvl w:val="0"/>
          <w:numId w:val="1"/>
        </w:numPr>
      </w:pPr>
      <w:r>
        <w:t xml:space="preserve">HD is losing its core competence in residential DIY market : customer satisfaction. </w:t>
      </w:r>
    </w:p>
    <w:p w:rsidR="00F15680" w:rsidRDefault="00F15680" w:rsidP="00D04BCC">
      <w:pPr>
        <w:pStyle w:val="ListBullet"/>
        <w:numPr>
          <w:ilvl w:val="0"/>
          <w:numId w:val="1"/>
        </w:numPr>
      </w:pPr>
      <w:r>
        <w:lastRenderedPageBreak/>
        <w:t xml:space="preserve">This may be the result of unhappy employees because of Nardelli’s management. </w:t>
      </w:r>
    </w:p>
    <w:p w:rsidR="00F15680" w:rsidRDefault="00BA039C" w:rsidP="00D04BCC">
      <w:pPr>
        <w:pStyle w:val="ListBullet"/>
        <w:numPr>
          <w:ilvl w:val="0"/>
          <w:numId w:val="1"/>
        </w:numPr>
      </w:pPr>
      <w:r>
        <w:t>Something needs to be changed</w:t>
      </w:r>
    </w:p>
    <w:p w:rsidR="00D924F6" w:rsidRDefault="00D924F6" w:rsidP="00D924F6">
      <w:pPr>
        <w:pStyle w:val="Heading1"/>
      </w:pPr>
      <w:r>
        <w:t xml:space="preserve">Implementation Plan </w:t>
      </w:r>
    </w:p>
    <w:p w:rsidR="00D2695F" w:rsidRDefault="00694784" w:rsidP="000A6641">
      <w:pPr>
        <w:pStyle w:val="ListBullet"/>
        <w:numPr>
          <w:ilvl w:val="0"/>
          <w:numId w:val="1"/>
        </w:numPr>
      </w:pPr>
      <w:r>
        <w:t>HD Supply might</w:t>
      </w:r>
      <w:r w:rsidR="000A6641">
        <w:t xml:space="preserve"> be a distraction in company’</w:t>
      </w:r>
      <w:r w:rsidR="008F6C5C">
        <w:t>s strategy</w:t>
      </w:r>
      <w:r w:rsidR="000A6641">
        <w:t xml:space="preserve"> to grow customer satisfaction in DIY market. Consider to liquidate it.  </w:t>
      </w:r>
    </w:p>
    <w:p w:rsidR="00311C97" w:rsidRDefault="00311C97" w:rsidP="000A6641">
      <w:pPr>
        <w:pStyle w:val="ListBullet"/>
        <w:numPr>
          <w:ilvl w:val="0"/>
          <w:numId w:val="1"/>
        </w:numPr>
      </w:pPr>
      <w:r>
        <w:t>Still keep central procurement, central HR, and CFO, while giving more autonomy</w:t>
      </w:r>
      <w:r w:rsidR="00E2593D">
        <w:t xml:space="preserve"> to each store</w:t>
      </w:r>
      <w:r>
        <w:t xml:space="preserve">. </w:t>
      </w:r>
    </w:p>
    <w:p w:rsidR="00870DF9" w:rsidRDefault="00870DF9" w:rsidP="000A6641">
      <w:pPr>
        <w:pStyle w:val="ListBullet"/>
        <w:numPr>
          <w:ilvl w:val="0"/>
          <w:numId w:val="1"/>
        </w:numPr>
      </w:pPr>
      <w:r>
        <w:t xml:space="preserve">Reduce the number of report </w:t>
      </w:r>
      <w:r w:rsidR="00311C97">
        <w:t xml:space="preserve">by each store </w:t>
      </w:r>
      <w:r w:rsidR="004B0173">
        <w:t>to only twice a</w:t>
      </w:r>
      <w:r>
        <w:t xml:space="preserve"> month. Give each store manager enough autonomy and enough time to take care of customers.</w:t>
      </w:r>
    </w:p>
    <w:p w:rsidR="00870DF9" w:rsidRDefault="00870DF9" w:rsidP="000A6641">
      <w:pPr>
        <w:pStyle w:val="ListBullet"/>
        <w:numPr>
          <w:ilvl w:val="0"/>
          <w:numId w:val="1"/>
        </w:numPr>
      </w:pPr>
      <w:r>
        <w:t xml:space="preserve">Reduce the number of hiring of military veterans, </w:t>
      </w:r>
      <w:r w:rsidR="00680176">
        <w:t xml:space="preserve">increase the passionate DIY associates in each store, </w:t>
      </w:r>
      <w:r w:rsidR="0076457D">
        <w:t>ratio 1:4</w:t>
      </w:r>
      <w:r w:rsidR="00680176">
        <w:t xml:space="preserve">, so the customers can get professional service.  </w:t>
      </w:r>
    </w:p>
    <w:p w:rsidR="004B0173" w:rsidRDefault="00680176" w:rsidP="000A6641">
      <w:pPr>
        <w:pStyle w:val="ListBullet"/>
        <w:numPr>
          <w:ilvl w:val="0"/>
          <w:numId w:val="1"/>
        </w:numPr>
      </w:pPr>
      <w:r>
        <w:t xml:space="preserve">Reduce the number of part-time and temporary </w:t>
      </w:r>
      <w:r w:rsidR="00311C97">
        <w:t>worker. Only the position which does not de</w:t>
      </w:r>
      <w:r w:rsidR="004C4FF4">
        <w:t>al with customers face-to-</w:t>
      </w:r>
      <w:r w:rsidR="00311C97">
        <w:t>face</w:t>
      </w:r>
      <w:r w:rsidR="004C4FF4">
        <w:t xml:space="preserve"> can be part time</w:t>
      </w:r>
      <w:r w:rsidR="00311C97">
        <w:t>.</w:t>
      </w:r>
      <w:r w:rsidR="004C4FF4">
        <w:t xml:space="preserve">  </w:t>
      </w:r>
      <w:r w:rsidR="004B0173">
        <w:t xml:space="preserve">           </w:t>
      </w:r>
    </w:p>
    <w:p w:rsidR="004B0173" w:rsidRDefault="004B0173" w:rsidP="000A6641">
      <w:pPr>
        <w:pStyle w:val="ListBullet"/>
        <w:numPr>
          <w:ilvl w:val="0"/>
          <w:numId w:val="1"/>
        </w:numPr>
      </w:pPr>
      <w:r>
        <w:t xml:space="preserve">Design a performance index to honor the staffs who are professional in DIY and </w:t>
      </w:r>
      <w:r w:rsidR="0030791A">
        <w:t xml:space="preserve">efficient </w:t>
      </w:r>
      <w:r>
        <w:t xml:space="preserve">in serving customers. </w:t>
      </w:r>
    </w:p>
    <w:p w:rsidR="004B0173" w:rsidRDefault="0076457D" w:rsidP="000A6641">
      <w:pPr>
        <w:pStyle w:val="ListBullet"/>
        <w:numPr>
          <w:ilvl w:val="0"/>
          <w:numId w:val="1"/>
        </w:numPr>
      </w:pPr>
      <w:r>
        <w:t>Still keep, or</w:t>
      </w:r>
      <w:r w:rsidR="004B0173">
        <w:t xml:space="preserve"> advance, the information </w:t>
      </w:r>
      <w:r w:rsidR="00DF5918">
        <w:t xml:space="preserve">technology </w:t>
      </w:r>
      <w:r w:rsidR="004B0173">
        <w:t>system about invoice</w:t>
      </w:r>
      <w:r w:rsidR="0030791A">
        <w:t xml:space="preserve"> and</w:t>
      </w:r>
      <w:r w:rsidR="004B0173">
        <w:t xml:space="preserve"> inventory. So the head quarter can know the update status of each store without store manager’s report. </w:t>
      </w:r>
    </w:p>
    <w:p w:rsidR="004C4FF4" w:rsidRDefault="004B0173" w:rsidP="0076457D">
      <w:pPr>
        <w:pStyle w:val="ListBullet"/>
        <w:numPr>
          <w:ilvl w:val="0"/>
          <w:numId w:val="0"/>
        </w:numPr>
        <w:ind w:left="720"/>
      </w:pPr>
      <w:r>
        <w:t xml:space="preserve">                                  </w:t>
      </w:r>
    </w:p>
    <w:p w:rsidR="005778F9" w:rsidRDefault="005778F9" w:rsidP="00D2695F">
      <w:pPr>
        <w:pStyle w:val="ListBullet"/>
        <w:numPr>
          <w:ilvl w:val="0"/>
          <w:numId w:val="0"/>
        </w:numPr>
        <w:ind w:left="720" w:hanging="360"/>
      </w:pPr>
    </w:p>
    <w:sectPr w:rsidR="005778F9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CD8" w:rsidRDefault="00A20CD8" w:rsidP="00C6554A">
      <w:pPr>
        <w:spacing w:before="0" w:after="0" w:line="240" w:lineRule="auto"/>
      </w:pPr>
      <w:r>
        <w:separator/>
      </w:r>
    </w:p>
  </w:endnote>
  <w:endnote w:type="continuationSeparator" w:id="0">
    <w:p w:rsidR="00A20CD8" w:rsidRDefault="00A20CD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C364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CD8" w:rsidRDefault="00A20CD8" w:rsidP="00C6554A">
      <w:pPr>
        <w:spacing w:before="0" w:after="0" w:line="240" w:lineRule="auto"/>
      </w:pPr>
      <w:r>
        <w:separator/>
      </w:r>
    </w:p>
  </w:footnote>
  <w:footnote w:type="continuationSeparator" w:id="0">
    <w:p w:rsidR="00A20CD8" w:rsidRDefault="00A20CD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F7"/>
    <w:rsid w:val="00033F99"/>
    <w:rsid w:val="000A2D05"/>
    <w:rsid w:val="000A6641"/>
    <w:rsid w:val="000B3AF6"/>
    <w:rsid w:val="000B5BF2"/>
    <w:rsid w:val="000C5E1B"/>
    <w:rsid w:val="000D02D2"/>
    <w:rsid w:val="000D0313"/>
    <w:rsid w:val="0012792B"/>
    <w:rsid w:val="0014237A"/>
    <w:rsid w:val="00147E9F"/>
    <w:rsid w:val="0015427E"/>
    <w:rsid w:val="00180C3B"/>
    <w:rsid w:val="00192DD2"/>
    <w:rsid w:val="001A6EB1"/>
    <w:rsid w:val="001D3458"/>
    <w:rsid w:val="001E2B03"/>
    <w:rsid w:val="001F162C"/>
    <w:rsid w:val="001F1916"/>
    <w:rsid w:val="002163D9"/>
    <w:rsid w:val="00237CB6"/>
    <w:rsid w:val="002554CD"/>
    <w:rsid w:val="002707E1"/>
    <w:rsid w:val="0028644A"/>
    <w:rsid w:val="00293B83"/>
    <w:rsid w:val="002B09F1"/>
    <w:rsid w:val="002B4294"/>
    <w:rsid w:val="002F0F18"/>
    <w:rsid w:val="00306468"/>
    <w:rsid w:val="0030791A"/>
    <w:rsid w:val="00311C97"/>
    <w:rsid w:val="00327987"/>
    <w:rsid w:val="00332F50"/>
    <w:rsid w:val="00333D0D"/>
    <w:rsid w:val="00345168"/>
    <w:rsid w:val="00382FC6"/>
    <w:rsid w:val="003C6FAC"/>
    <w:rsid w:val="003D4FCE"/>
    <w:rsid w:val="003E516B"/>
    <w:rsid w:val="003E7997"/>
    <w:rsid w:val="0042531B"/>
    <w:rsid w:val="0045456D"/>
    <w:rsid w:val="00461540"/>
    <w:rsid w:val="00482337"/>
    <w:rsid w:val="004B0173"/>
    <w:rsid w:val="004C049F"/>
    <w:rsid w:val="004C48A1"/>
    <w:rsid w:val="004C4FF4"/>
    <w:rsid w:val="004D67A6"/>
    <w:rsid w:val="004F4197"/>
    <w:rsid w:val="005000E2"/>
    <w:rsid w:val="00533F20"/>
    <w:rsid w:val="00545758"/>
    <w:rsid w:val="005503FE"/>
    <w:rsid w:val="005510B4"/>
    <w:rsid w:val="005743CC"/>
    <w:rsid w:val="005759A2"/>
    <w:rsid w:val="005778F9"/>
    <w:rsid w:val="00577E95"/>
    <w:rsid w:val="0058287C"/>
    <w:rsid w:val="00590D4D"/>
    <w:rsid w:val="00597330"/>
    <w:rsid w:val="005B3B97"/>
    <w:rsid w:val="005B5448"/>
    <w:rsid w:val="005F27A5"/>
    <w:rsid w:val="00606702"/>
    <w:rsid w:val="006071A3"/>
    <w:rsid w:val="00635E12"/>
    <w:rsid w:val="006579CA"/>
    <w:rsid w:val="00680176"/>
    <w:rsid w:val="00682937"/>
    <w:rsid w:val="00694784"/>
    <w:rsid w:val="006A3CE7"/>
    <w:rsid w:val="006B153D"/>
    <w:rsid w:val="006B6905"/>
    <w:rsid w:val="006D2475"/>
    <w:rsid w:val="006F3AAD"/>
    <w:rsid w:val="00721A37"/>
    <w:rsid w:val="00756547"/>
    <w:rsid w:val="0076457D"/>
    <w:rsid w:val="00770E86"/>
    <w:rsid w:val="007A6698"/>
    <w:rsid w:val="007B6ECB"/>
    <w:rsid w:val="007D5A07"/>
    <w:rsid w:val="007E7549"/>
    <w:rsid w:val="00805D4E"/>
    <w:rsid w:val="0081759F"/>
    <w:rsid w:val="00821831"/>
    <w:rsid w:val="00847276"/>
    <w:rsid w:val="008472B8"/>
    <w:rsid w:val="00863B95"/>
    <w:rsid w:val="00870DF9"/>
    <w:rsid w:val="008A2717"/>
    <w:rsid w:val="008E758E"/>
    <w:rsid w:val="008F6C5C"/>
    <w:rsid w:val="00915275"/>
    <w:rsid w:val="00925382"/>
    <w:rsid w:val="00940AC4"/>
    <w:rsid w:val="00982BF7"/>
    <w:rsid w:val="009A7C73"/>
    <w:rsid w:val="009B5110"/>
    <w:rsid w:val="009D57A9"/>
    <w:rsid w:val="009E144C"/>
    <w:rsid w:val="009F7A2C"/>
    <w:rsid w:val="00A10046"/>
    <w:rsid w:val="00A20CD8"/>
    <w:rsid w:val="00A249D1"/>
    <w:rsid w:val="00A2765C"/>
    <w:rsid w:val="00A31556"/>
    <w:rsid w:val="00A37EC3"/>
    <w:rsid w:val="00A408C2"/>
    <w:rsid w:val="00A6213D"/>
    <w:rsid w:val="00AB0893"/>
    <w:rsid w:val="00AE6BB8"/>
    <w:rsid w:val="00AF31C5"/>
    <w:rsid w:val="00B071B5"/>
    <w:rsid w:val="00B230D4"/>
    <w:rsid w:val="00B36256"/>
    <w:rsid w:val="00B433BB"/>
    <w:rsid w:val="00B721BF"/>
    <w:rsid w:val="00B823C1"/>
    <w:rsid w:val="00B85D3A"/>
    <w:rsid w:val="00BA039C"/>
    <w:rsid w:val="00BB2B52"/>
    <w:rsid w:val="00BE4478"/>
    <w:rsid w:val="00C2275E"/>
    <w:rsid w:val="00C37E2D"/>
    <w:rsid w:val="00C44E21"/>
    <w:rsid w:val="00C538B5"/>
    <w:rsid w:val="00C6554A"/>
    <w:rsid w:val="00CB0F20"/>
    <w:rsid w:val="00CC3501"/>
    <w:rsid w:val="00CE5B16"/>
    <w:rsid w:val="00CF082A"/>
    <w:rsid w:val="00D03845"/>
    <w:rsid w:val="00D2695F"/>
    <w:rsid w:val="00D42E40"/>
    <w:rsid w:val="00D51605"/>
    <w:rsid w:val="00D526FE"/>
    <w:rsid w:val="00D6106F"/>
    <w:rsid w:val="00D75347"/>
    <w:rsid w:val="00D80AAB"/>
    <w:rsid w:val="00D8222A"/>
    <w:rsid w:val="00D82AF4"/>
    <w:rsid w:val="00D924F6"/>
    <w:rsid w:val="00D92A77"/>
    <w:rsid w:val="00DA2CEF"/>
    <w:rsid w:val="00DC5F81"/>
    <w:rsid w:val="00DE2243"/>
    <w:rsid w:val="00DF4037"/>
    <w:rsid w:val="00DF5918"/>
    <w:rsid w:val="00E15F3A"/>
    <w:rsid w:val="00E20920"/>
    <w:rsid w:val="00E2593D"/>
    <w:rsid w:val="00E33140"/>
    <w:rsid w:val="00E60B43"/>
    <w:rsid w:val="00EA1C4E"/>
    <w:rsid w:val="00EC3642"/>
    <w:rsid w:val="00ED1559"/>
    <w:rsid w:val="00ED7C44"/>
    <w:rsid w:val="00EE41A1"/>
    <w:rsid w:val="00EE58EB"/>
    <w:rsid w:val="00EF7205"/>
    <w:rsid w:val="00F06FB5"/>
    <w:rsid w:val="00F15680"/>
    <w:rsid w:val="00F21DEC"/>
    <w:rsid w:val="00F32926"/>
    <w:rsid w:val="00F44144"/>
    <w:rsid w:val="00F74782"/>
    <w:rsid w:val="00F95006"/>
    <w:rsid w:val="00F95122"/>
    <w:rsid w:val="00F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A87572-0AC2-44C4-84A4-093727A7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anju\AppData\Roaming\Microsoft\Templates\Student%20report%20with%20cover%20phot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Same Store Growth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HomeDepot!$M$82</c:f>
              <c:strCache>
                <c:ptCount val="1"/>
                <c:pt idx="0">
                  <c:v>HD same store sales growth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HomeDepot!$N$81:$W$81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HomeDepot!$N$82:$W$82</c:f>
              <c:numCache>
                <c:formatCode>0.00%</c:formatCode>
                <c:ptCount val="10"/>
                <c:pt idx="0">
                  <c:v>7.0000000000000007E-2</c:v>
                </c:pt>
                <c:pt idx="1">
                  <c:v>7.0000000000000007E-2</c:v>
                </c:pt>
                <c:pt idx="2">
                  <c:v>0.1</c:v>
                </c:pt>
                <c:pt idx="3">
                  <c:v>0.04</c:v>
                </c:pt>
                <c:pt idx="5">
                  <c:v>-5.0000000000000001E-3</c:v>
                </c:pt>
                <c:pt idx="6">
                  <c:v>3.6999999999999998E-2</c:v>
                </c:pt>
                <c:pt idx="7">
                  <c:v>5.0999999999999997E-2</c:v>
                </c:pt>
                <c:pt idx="8">
                  <c:v>3.1E-2</c:v>
                </c:pt>
                <c:pt idx="9">
                  <c:v>-2.8000000000000001E-2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E5-49D4-ACDF-24475365D8A3}"/>
            </c:ext>
          </c:extLst>
        </c:ser>
        <c:ser>
          <c:idx val="1"/>
          <c:order val="1"/>
          <c:tx>
            <c:strRef>
              <c:f>HomeDepot!$M$83</c:f>
              <c:strCache>
                <c:ptCount val="1"/>
                <c:pt idx="0">
                  <c:v>Lowe's same store sales growth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HomeDepot!$N$81:$W$81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HomeDepot!$N$83:$W$83</c:f>
              <c:numCache>
                <c:formatCode>0.00%</c:formatCode>
                <c:ptCount val="10"/>
                <c:pt idx="0">
                  <c:v>0.04</c:v>
                </c:pt>
                <c:pt idx="1">
                  <c:v>0.06</c:v>
                </c:pt>
                <c:pt idx="2">
                  <c:v>0.06</c:v>
                </c:pt>
                <c:pt idx="3">
                  <c:v>0.01</c:v>
                </c:pt>
                <c:pt idx="4">
                  <c:v>2.5000000000000001E-2</c:v>
                </c:pt>
                <c:pt idx="5">
                  <c:v>5.8000000000000003E-2</c:v>
                </c:pt>
                <c:pt idx="6">
                  <c:v>6.7000000000000004E-2</c:v>
                </c:pt>
                <c:pt idx="7">
                  <c:v>6.6000000000000003E-2</c:v>
                </c:pt>
                <c:pt idx="8">
                  <c:v>6.0999999999999999E-2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E5-49D4-ACDF-24475365D8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4335344"/>
        <c:axId val="384334032"/>
      </c:lineChart>
      <c:catAx>
        <c:axId val="38433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334032"/>
        <c:crosses val="autoZero"/>
        <c:auto val="1"/>
        <c:lblAlgn val="ctr"/>
        <c:lblOffset val="100"/>
        <c:noMultiLvlLbl val="0"/>
      </c:catAx>
      <c:valAx>
        <c:axId val="38433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33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per store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HomeDepot!$S$2</c:f>
              <c:strCache>
                <c:ptCount val="1"/>
                <c:pt idx="0">
                  <c:v>HD Sales per store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HomeDepot!$T$1:$AC$1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HomeDepot!$T$2:$AC$2</c:f>
              <c:numCache>
                <c:formatCode>0.00</c:formatCode>
                <c:ptCount val="10"/>
                <c:pt idx="0">
                  <c:v>38.71153846153846</c:v>
                </c:pt>
                <c:pt idx="1">
                  <c:v>39.709592641261501</c:v>
                </c:pt>
                <c:pt idx="2">
                  <c:v>41.326881720430109</c:v>
                </c:pt>
                <c:pt idx="3">
                  <c:v>40.333333333333336</c:v>
                </c:pt>
                <c:pt idx="4">
                  <c:v>40.174793698424608</c:v>
                </c:pt>
                <c:pt idx="5">
                  <c:v>38.020234986945169</c:v>
                </c:pt>
                <c:pt idx="6">
                  <c:v>37.970708845928527</c:v>
                </c:pt>
                <c:pt idx="7">
                  <c:v>38.674074074074078</c:v>
                </c:pt>
                <c:pt idx="8">
                  <c:v>39.917238001958864</c:v>
                </c:pt>
                <c:pt idx="9">
                  <c:v>42.308802980903586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F4-45AA-B4D1-474461745F5A}"/>
            </c:ext>
          </c:extLst>
        </c:ser>
        <c:ser>
          <c:idx val="1"/>
          <c:order val="1"/>
          <c:tx>
            <c:strRef>
              <c:f>HomeDepot!$S$3</c:f>
              <c:strCache>
                <c:ptCount val="1"/>
                <c:pt idx="0">
                  <c:v>Lowe's Sales per store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HomeDepot!$T$1:$AC$1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HomeDepot!$T$3:$AC$3</c:f>
              <c:numCache>
                <c:formatCode>0.00</c:formatCode>
                <c:ptCount val="10"/>
                <c:pt idx="0">
                  <c:v>23.287211740041929</c:v>
                </c:pt>
                <c:pt idx="1">
                  <c:v>25.636538461538461</c:v>
                </c:pt>
                <c:pt idx="2">
                  <c:v>27.614583333333332</c:v>
                </c:pt>
                <c:pt idx="3">
                  <c:v>28.89076923076923</c:v>
                </c:pt>
                <c:pt idx="4">
                  <c:v>29.719086021505376</c:v>
                </c:pt>
                <c:pt idx="5">
                  <c:v>31.019906323185012</c:v>
                </c:pt>
                <c:pt idx="6">
                  <c:v>32.392857142857146</c:v>
                </c:pt>
                <c:pt idx="7">
                  <c:v>33.54553817847286</c:v>
                </c:pt>
                <c:pt idx="8">
                  <c:v>35.04294975688817</c:v>
                </c:pt>
                <c:pt idx="9">
                  <c:v>33.882310469314078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F4-45AA-B4D1-474461745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5339088"/>
        <c:axId val="385325640"/>
      </c:barChart>
      <c:catAx>
        <c:axId val="38533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325640"/>
        <c:crosses val="autoZero"/>
        <c:auto val="1"/>
        <c:lblAlgn val="ctr"/>
        <c:lblOffset val="100"/>
        <c:noMultiLvlLbl val="0"/>
      </c:catAx>
      <c:valAx>
        <c:axId val="38532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33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HomeDepot!$L$75:$M$75</c:f>
              <c:strCache>
                <c:ptCount val="2"/>
                <c:pt idx="0">
                  <c:v>Home Depot</c:v>
                </c:pt>
                <c:pt idx="1">
                  <c:v>Transaction/store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HomeDepot!$N$74:$W$74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HomeDepot!$N$75:$W$75</c:f>
              <c:numCache>
                <c:formatCode>0.00</c:formatCode>
                <c:ptCount val="10"/>
                <c:pt idx="0">
                  <c:v>0.88141025641025639</c:v>
                </c:pt>
                <c:pt idx="1">
                  <c:v>0.87385019710906697</c:v>
                </c:pt>
                <c:pt idx="2">
                  <c:v>0.85698924731182791</c:v>
                </c:pt>
                <c:pt idx="3">
                  <c:v>0.82539682539682535</c:v>
                </c:pt>
                <c:pt idx="4">
                  <c:v>0.81845461365341332</c:v>
                </c:pt>
                <c:pt idx="5">
                  <c:v>0.7578328981723238</c:v>
                </c:pt>
                <c:pt idx="6">
                  <c:v>0.72993555946104272</c:v>
                </c:pt>
                <c:pt idx="7">
                  <c:v>0.68518518518518523</c:v>
                </c:pt>
                <c:pt idx="8">
                  <c:v>0.6513222331047992</c:v>
                </c:pt>
                <c:pt idx="9">
                  <c:v>0.61946902654867253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2B-4C5A-9DFB-785AA1A6E166}"/>
            </c:ext>
          </c:extLst>
        </c:ser>
        <c:ser>
          <c:idx val="2"/>
          <c:order val="2"/>
          <c:tx>
            <c:strRef>
              <c:f>HomeDepot!$L$77:$M$77</c:f>
              <c:strCache>
                <c:ptCount val="2"/>
                <c:pt idx="0">
                  <c:v>Lowe's</c:v>
                </c:pt>
                <c:pt idx="1">
                  <c:v>Transaction/store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HomeDepot!$N$74:$W$74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HomeDepot!$N$77:$W$77</c:f>
              <c:numCache>
                <c:formatCode>0.00</c:formatCode>
                <c:ptCount val="10"/>
                <c:pt idx="0">
                  <c:v>0.48427672955974843</c:v>
                </c:pt>
                <c:pt idx="1">
                  <c:v>0.51538461538461533</c:v>
                </c:pt>
                <c:pt idx="2">
                  <c:v>0.51736111111111116</c:v>
                </c:pt>
                <c:pt idx="3">
                  <c:v>0.52615384615384619</c:v>
                </c:pt>
                <c:pt idx="4">
                  <c:v>0.52956989247311825</c:v>
                </c:pt>
                <c:pt idx="5">
                  <c:v>0.53864168618266983</c:v>
                </c:pt>
                <c:pt idx="6">
                  <c:v>0.54726890756302526</c:v>
                </c:pt>
                <c:pt idx="7">
                  <c:v>0.52897884084636615</c:v>
                </c:pt>
                <c:pt idx="8">
                  <c:v>0.51782820097244731</c:v>
                </c:pt>
                <c:pt idx="9">
                  <c:v>0.49097472924187724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2B-4C5A-9DFB-785AA1A6E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98393360"/>
        <c:axId val="398399264"/>
      </c:barChart>
      <c:lineChart>
        <c:grouping val="standard"/>
        <c:varyColors val="0"/>
        <c:ser>
          <c:idx val="1"/>
          <c:order val="1"/>
          <c:tx>
            <c:strRef>
              <c:f>HomeDepot!$L$76:$M$76</c:f>
              <c:strCache>
                <c:ptCount val="2"/>
                <c:pt idx="0">
                  <c:v>Home Depot</c:v>
                </c:pt>
                <c:pt idx="1">
                  <c:v>Avg cust. Ticket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HomeDepot!$N$74:$W$74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HomeDepot!$N$76:$W$76</c:f>
              <c:numCache>
                <c:formatCode>0.000</c:formatCode>
                <c:ptCount val="10"/>
                <c:pt idx="0">
                  <c:v>43.65</c:v>
                </c:pt>
                <c:pt idx="1">
                  <c:v>45.05</c:v>
                </c:pt>
                <c:pt idx="2">
                  <c:v>47.87</c:v>
                </c:pt>
                <c:pt idx="3">
                  <c:v>48.65</c:v>
                </c:pt>
                <c:pt idx="4">
                  <c:v>48.64</c:v>
                </c:pt>
                <c:pt idx="5">
                  <c:v>49.43</c:v>
                </c:pt>
                <c:pt idx="6">
                  <c:v>51.15</c:v>
                </c:pt>
                <c:pt idx="7">
                  <c:v>54.89</c:v>
                </c:pt>
                <c:pt idx="8">
                  <c:v>57.98</c:v>
                </c:pt>
                <c:pt idx="9">
                  <c:v>58.9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2B-4C5A-9DFB-785AA1A6E166}"/>
            </c:ext>
          </c:extLst>
        </c:ser>
        <c:ser>
          <c:idx val="3"/>
          <c:order val="3"/>
          <c:tx>
            <c:strRef>
              <c:f>HomeDepot!$L$78:$M$78</c:f>
              <c:strCache>
                <c:ptCount val="2"/>
                <c:pt idx="0">
                  <c:v>Lowe's</c:v>
                </c:pt>
                <c:pt idx="1">
                  <c:v>Avg cust. Ticket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HomeDepot!$N$74:$W$74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HomeDepot!$N$78:$W$78</c:f>
              <c:numCache>
                <c:formatCode>0.000</c:formatCode>
                <c:ptCount val="10"/>
                <c:pt idx="0">
                  <c:v>48.09</c:v>
                </c:pt>
                <c:pt idx="1">
                  <c:v>49.7</c:v>
                </c:pt>
                <c:pt idx="2">
                  <c:v>53.42</c:v>
                </c:pt>
                <c:pt idx="3">
                  <c:v>54.88</c:v>
                </c:pt>
                <c:pt idx="4">
                  <c:v>55.96</c:v>
                </c:pt>
                <c:pt idx="5">
                  <c:v>57.55</c:v>
                </c:pt>
                <c:pt idx="6">
                  <c:v>59.21</c:v>
                </c:pt>
                <c:pt idx="7">
                  <c:v>63.43</c:v>
                </c:pt>
                <c:pt idx="8">
                  <c:v>67.67</c:v>
                </c:pt>
                <c:pt idx="9">
                  <c:v>68.98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2B-4C5A-9DFB-785AA1A6E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4628544"/>
        <c:axId val="274640352"/>
      </c:lineChart>
      <c:catAx>
        <c:axId val="39839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399264"/>
        <c:crosses val="autoZero"/>
        <c:auto val="1"/>
        <c:lblAlgn val="ctr"/>
        <c:lblOffset val="100"/>
        <c:noMultiLvlLbl val="0"/>
      </c:catAx>
      <c:valAx>
        <c:axId val="39839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 / store (million)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393360"/>
        <c:crosses val="autoZero"/>
        <c:crossBetween val="between"/>
      </c:valAx>
      <c:valAx>
        <c:axId val="2746403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customer ticket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628544"/>
        <c:crosses val="max"/>
        <c:crossBetween val="between"/>
      </c:valAx>
      <c:catAx>
        <c:axId val="2746285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746403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Margin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HomeDepot!$M$65</c:f>
              <c:strCache>
                <c:ptCount val="1"/>
                <c:pt idx="0">
                  <c:v>HD Margin 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HomeDepot!$N$64:$W$64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HomeDepot!$N$65:$W$65</c:f>
              <c:numCache>
                <c:formatCode>0.0%</c:formatCode>
                <c:ptCount val="10"/>
                <c:pt idx="0">
                  <c:v>0.28100000000000003</c:v>
                </c:pt>
                <c:pt idx="1">
                  <c:v>0.28499999999999998</c:v>
                </c:pt>
                <c:pt idx="2">
                  <c:v>0.29699999999999999</c:v>
                </c:pt>
                <c:pt idx="3">
                  <c:v>0.29899999999999999</c:v>
                </c:pt>
                <c:pt idx="4">
                  <c:v>0.30199999999999999</c:v>
                </c:pt>
                <c:pt idx="5">
                  <c:v>0.311</c:v>
                </c:pt>
                <c:pt idx="6">
                  <c:v>0.318</c:v>
                </c:pt>
                <c:pt idx="7">
                  <c:v>0.33400000000000002</c:v>
                </c:pt>
                <c:pt idx="8">
                  <c:v>0.33500000000000002</c:v>
                </c:pt>
                <c:pt idx="9">
                  <c:v>0.32800000000000001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C7-48D1-9EB2-567FD00E03DB}"/>
            </c:ext>
          </c:extLst>
        </c:ser>
        <c:ser>
          <c:idx val="1"/>
          <c:order val="1"/>
          <c:tx>
            <c:strRef>
              <c:f>HomeDepot!$M$66</c:f>
              <c:strCache>
                <c:ptCount val="1"/>
                <c:pt idx="0">
                  <c:v>Lowe's Margin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HomeDepot!$N$64:$W$64</c:f>
              <c:numCache>
                <c:formatCode>General</c:formatCode>
                <c:ptCount val="10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</c:numCache>
            </c:numRef>
          </c:cat>
          <c:val>
            <c:numRef>
              <c:f>HomeDepot!$N$66:$W$66</c:f>
              <c:numCache>
                <c:formatCode>0.0%</c:formatCode>
                <c:ptCount val="10"/>
                <c:pt idx="0">
                  <c:v>0.27</c:v>
                </c:pt>
                <c:pt idx="1">
                  <c:v>0.27</c:v>
                </c:pt>
                <c:pt idx="2">
                  <c:v>0.28000000000000003</c:v>
                </c:pt>
                <c:pt idx="3">
                  <c:v>0.28000000000000003</c:v>
                </c:pt>
                <c:pt idx="4">
                  <c:v>0.28999999999999998</c:v>
                </c:pt>
                <c:pt idx="5">
                  <c:v>0.3</c:v>
                </c:pt>
                <c:pt idx="6">
                  <c:v>0.31</c:v>
                </c:pt>
                <c:pt idx="7">
                  <c:v>0.34</c:v>
                </c:pt>
                <c:pt idx="8">
                  <c:v>0.34</c:v>
                </c:pt>
                <c:pt idx="9">
                  <c:v>0.35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C7-48D1-9EB2-567FD00E0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100136"/>
        <c:axId val="388092592"/>
      </c:lineChart>
      <c:catAx>
        <c:axId val="38810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92592"/>
        <c:crosses val="autoZero"/>
        <c:auto val="1"/>
        <c:lblAlgn val="ctr"/>
        <c:lblOffset val="100"/>
        <c:noMultiLvlLbl val="0"/>
      </c:catAx>
      <c:valAx>
        <c:axId val="38809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10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30DE-2005-4B74-8511-0BE7BEB5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923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Yu-Min Wang</dc:creator>
  <cp:keywords/>
  <dc:description/>
  <cp:lastModifiedBy>t420</cp:lastModifiedBy>
  <cp:revision>54</cp:revision>
  <cp:lastPrinted>2017-02-06T16:02:00Z</cp:lastPrinted>
  <dcterms:created xsi:type="dcterms:W3CDTF">2017-02-02T00:31:00Z</dcterms:created>
  <dcterms:modified xsi:type="dcterms:W3CDTF">2017-02-28T04:11:00Z</dcterms:modified>
</cp:coreProperties>
</file>