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At its core, this project investigates whether a Large Language Model (LLM) can solve a complex matching task: given a set of sanitized, narrative personality descriptions and a corresponding set of biographical data, can it correctly pair them at a rate significantly greater than chance?</w:t>
      </w:r>
    </w:p>
    <w:p>
      <w:pPr>
        <w:pStyle w:val="BodyText"/>
      </w:pPr>
      <w:r>
        <w:t xml:space="preserve">This study introduces a novel methodological twist to probe the limits of LLM pattern recognition. The personality descriptions, while presented as standard narratives, are generated by a deterministic, non-scientific system (an astrology program). This transforms the experiment into a rigorous test of an LLM’s ability to detect subtle, complex, and systematic patterns within a noisy and unconventional dataset. The central question is not about the validity of the generating system, but about the capability of the AI to find a signal in its output.</w:t>
      </w:r>
    </w:p>
    <w:bookmarkEnd w:id="9"/>
    <w:bookmarkStart w:id="10" w:name="X719dc350131d32eaff9845ccea66169951ef467"/>
    <w:p>
      <w:pPr>
        <w:pStyle w:val="Heading2"/>
      </w:pPr>
      <w:r>
        <w:t xml:space="preserve">A Note on Stimulus Generation and Experimental Design</w:t>
      </w:r>
    </w:p>
    <w:p>
      <w:pPr>
        <w:pStyle w:val="FirstParagraph"/>
      </w:pPr>
      <w:r>
        <w:t xml:space="preserve">To create a uniquely challenging test for modern LLMs, we employed a two-step process for generating the textual stimuli: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Generation</w:t>
      </w:r>
      <w:r>
        <w:t xml:space="preserve">: A commercial astrology program was used as a</w:t>
      </w:r>
      <w:r>
        <w:t xml:space="preserve"> </w:t>
      </w:r>
      <w:r>
        <w:t xml:space="preserve">“black box”</w:t>
      </w:r>
      <w:r>
        <w:t xml:space="preserve"> </w:t>
      </w:r>
      <w:r>
        <w:t xml:space="preserve">function to deterministically map an individual’s biographical data (date, time, and place of birth) to a complex narrative description.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Sanitization</w:t>
      </w:r>
      <w:r>
        <w:t xml:space="preserve">: An LLM was then used to programmatically rewrite these descriptions, removing all explicit references to astrology, planets, or other esoteric terms.</w:t>
      </w:r>
    </w:p>
    <w:p>
      <w:pPr>
        <w:pStyle w:val="FirstParagraph"/>
      </w:pPr>
      <w:r>
        <w:t xml:space="preserve">The result is a clean dataset of personality profiles where the connection to the original biographical data is systematic but non-obvious.</w:t>
      </w:r>
    </w:p>
    <w:p>
      <w:pPr>
        <w:pStyle w:val="BodyText"/>
      </w:pPr>
      <w:r>
        <w:rPr>
          <w:b/>
          <w:bCs/>
        </w:rPr>
        <w:t xml:space="preserve">Crucially, this study does not seek to validate astrology.</w:t>
      </w:r>
      <w:r>
        <w:t xml:space="preserve"> </w:t>
      </w:r>
      <w:r>
        <w:t xml:space="preserve">Instead, it treats the generating program as an arbitrary, complex algorithm. The scientific objective is to determine whether an LLM, a third-party pattern-recognition system, can detect the subtle statistical regularities produced by this algorithm and use them to perform a successful matching task. The findings speak to the profound capabilities of LLMs to find signal in noisy, high-dimensional data, regardless of the source’s theoretical basis.</w:t>
      </w:r>
    </w:p>
    <w:bookmarkEnd w:id="10"/>
    <w:bookmarkStart w:id="11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1"/>
    <w:bookmarkStart w:id="24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5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83696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ocs/images/architecture_cod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360589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ocs/images/architecture_data_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6531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8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1810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project_stru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6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6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6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7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9"/>
    <w:bookmarkStart w:id="34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30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30"/>
    <w:bookmarkStart w:id="31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1"/>
    <w:bookmarkStart w:id="32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End w:id="32"/>
    <w:bookmarkStart w:id="33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3"/>
    <w:bookmarkEnd w:id="34"/>
    <w:bookmarkStart w:id="37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5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3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3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5"/>
    <w:bookmarkStart w:id="36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6"/>
    <w:bookmarkEnd w:id="37"/>
    <w:bookmarkStart w:id="42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41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BodyText"/>
      </w:pPr>
      <w:r>
        <w:drawing>
          <wp:inline>
            <wp:extent cx="5334000" cy="57198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ocs/images/replication_report_forma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41"/>
    <w:bookmarkEnd w:id="42"/>
    <w:bookmarkStart w:id="44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43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7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7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7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8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With this new section:</w:t>
      </w:r>
    </w:p>
    <w:p>
      <w:pPr>
        <w:pStyle w:val="SourceCode"/>
      </w:pPr>
      <w:r>
        <w:rPr>
          <w:rStyle w:val="FunctionTok"/>
        </w:rPr>
        <w:t xml:space="preserve">## Testing</w:t>
      </w:r>
      <w:r>
        <w:br/>
      </w:r>
      <w:r>
        <w:br/>
      </w:r>
      <w:r>
        <w:rPr>
          <w:rStyle w:val="NormalTok"/>
        </w:rPr>
        <w:t xml:space="preserve">The project includes a suite of unit and integration tests managed by PDM. To run the complete test suite, use the PDM script command: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2025-07-06T12:35:50Z</dcterms:created>
  <dcterms:modified xsi:type="dcterms:W3CDTF">2025-07-06T12:35:50Z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