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9D2B" w14:textId="77777777" w:rsidR="00ED4AAF" w:rsidRDefault="00000000">
      <w:pPr>
        <w:spacing w:before="1800" w:after="300"/>
        <w:jc w:val="center"/>
      </w:pPr>
      <w:r>
        <w:rPr>
          <w:b/>
          <w:bCs/>
          <w:sz w:val="32"/>
          <w:szCs w:val="32"/>
        </w:rPr>
        <w:t>The Price of Trust: Pricing the Governance-Risk Premium in DeFi Lending Against the Credit-Risk Loading of a Financial Cooperative</w:t>
      </w:r>
    </w:p>
    <w:p w14:paraId="027F4BFF" w14:textId="6A09EB51" w:rsidR="00ED4AAF" w:rsidRDefault="00000000">
      <w:pPr>
        <w:spacing w:after="120"/>
        <w:jc w:val="center"/>
      </w:pPr>
      <w:r>
        <w:t xml:space="preserve">Peter </w:t>
      </w:r>
      <w:r w:rsidR="002C4852">
        <w:t>Johnson</w:t>
      </w:r>
    </w:p>
    <w:p w14:paraId="68933327" w14:textId="77777777" w:rsidR="00ED4AAF" w:rsidRDefault="00000000">
      <w:pPr>
        <w:spacing w:after="120"/>
        <w:jc w:val="center"/>
      </w:pPr>
      <w:r>
        <w:rPr>
          <w:i/>
          <w:iCs/>
          <w:sz w:val="22"/>
          <w:szCs w:val="22"/>
        </w:rPr>
        <w:t xml:space="preserve">Blue Shift Labs by </w:t>
      </w:r>
      <w:proofErr w:type="spellStart"/>
      <w:r>
        <w:rPr>
          <w:i/>
          <w:iCs/>
          <w:sz w:val="22"/>
          <w:szCs w:val="22"/>
        </w:rPr>
        <w:t>Ayadee</w:t>
      </w:r>
      <w:proofErr w:type="spellEnd"/>
    </w:p>
    <w:p w14:paraId="721E3DE0" w14:textId="77777777" w:rsidR="00ED4AAF" w:rsidRDefault="00000000">
      <w:pPr>
        <w:spacing w:after="400"/>
        <w:jc w:val="center"/>
      </w:pPr>
      <w:r>
        <w:rPr>
          <w:sz w:val="22"/>
          <w:szCs w:val="22"/>
        </w:rPr>
        <w:t>Working paper, this version July 2026</w:t>
      </w:r>
    </w:p>
    <w:p w14:paraId="0D38C200" w14:textId="77777777" w:rsidR="00ED4AAF" w:rsidRDefault="00000000">
      <w:pPr>
        <w:spacing w:after="160" w:line="300" w:lineRule="auto"/>
        <w:jc w:val="center"/>
      </w:pPr>
      <w:r>
        <w:rPr>
          <w:b/>
          <w:bCs/>
        </w:rPr>
        <w:t>Abstract</w:t>
      </w:r>
    </w:p>
    <w:p w14:paraId="557724C8" w14:textId="77777777" w:rsidR="00ED4AAF" w:rsidRDefault="00000000">
      <w:pPr>
        <w:spacing w:after="160" w:line="300" w:lineRule="auto"/>
        <w:jc w:val="both"/>
      </w:pPr>
      <w:r>
        <w:t xml:space="preserve">Depositors in decentralized lending protocols hold a claim that can be destroyed by a </w:t>
      </w:r>
      <w:proofErr w:type="gramStart"/>
      <w:r>
        <w:t>smart-contract</w:t>
      </w:r>
      <w:proofErr w:type="gramEnd"/>
      <w:r>
        <w:t xml:space="preserve"> exploit or a governance attack. Members of a financial cooperative hold a claim eroded by ordinary credit losses. Both bear a cost for the institutional arrangement that intermediates their money, yet the two costs have never been priced against each other in a common unit. This paper does so. Using a curated catalogue of 84 exploit events against DeFi lending protocols from 2021 through 2025, drawn from open data, I fit a frequency-severity model in the actuarial tradition: Poisson arrival per protocol-year and a spliced severity law with an empirical body and a generalized Pareto tail estimated by maximum likelihood. A 200,000-</w:t>
      </w:r>
      <w:proofErr w:type="gramStart"/>
      <w:r>
        <w:t>year compound</w:t>
      </w:r>
      <w:proofErr w:type="gramEnd"/>
      <w:r>
        <w:t xml:space="preserve"> Monte Carlo simulation yields an expected annual loss of 94 basis points of total value locked and a 99 percent expected shortfall of roughly 8,200 basis points. With a 10 percent capital charge on the tail, the implied governance-risk premium is approximately 918 basis points per year. The comparator, computed from ten years of Banco Central do </w:t>
      </w:r>
      <w:proofErr w:type="spellStart"/>
      <w:r>
        <w:t>Brasil</w:t>
      </w:r>
      <w:proofErr w:type="spellEnd"/>
      <w:r>
        <w:t xml:space="preserve"> regulatory filings for a single Brazilian credit cooperative, is a mean credit-provision loading of 242 basis points of the classified loan book. The DeFi premium is 3.8 times the cooperative loading, and its composition is qualitatively different: nine tenths of it is compensation for rare catastrophe rather than expected loss. Trust in code is priced as a tail; trust in mutuality is priced as a toll. The full pipeline is reproducible from frozen public data with a fixed seed, and every headline number is recomputed by an independent verification script.</w:t>
      </w:r>
    </w:p>
    <w:p w14:paraId="56CB01FE" w14:textId="77777777" w:rsidR="00ED4AAF" w:rsidRDefault="00000000">
      <w:pPr>
        <w:spacing w:before="200"/>
      </w:pPr>
      <w:r>
        <w:rPr>
          <w:i/>
          <w:iCs/>
          <w:sz w:val="22"/>
          <w:szCs w:val="22"/>
        </w:rPr>
        <w:t>JEL codes: G21, G22, G32, G34, C58. Keywords: decentralized finance, DAO governance, credit cooperatives, extreme value theory, operational risk, expected shortfall.</w:t>
      </w:r>
    </w:p>
    <w:p w14:paraId="45185859" w14:textId="77777777" w:rsidR="00ED4AAF" w:rsidRDefault="00ED4AAF">
      <w:pPr>
        <w:pageBreakBefore/>
      </w:pPr>
    </w:p>
    <w:p w14:paraId="52021776" w14:textId="77777777" w:rsidR="00ED4AAF" w:rsidRDefault="00000000">
      <w:pPr>
        <w:pStyle w:val="Heading1"/>
        <w:spacing w:before="320" w:after="200"/>
      </w:pPr>
      <w:r>
        <w:rPr>
          <w:b/>
          <w:bCs/>
          <w:color w:val="000000"/>
          <w:sz w:val="26"/>
          <w:szCs w:val="26"/>
        </w:rPr>
        <w:t>1. Introduction</w:t>
      </w:r>
    </w:p>
    <w:p w14:paraId="354AEE7F" w14:textId="77777777" w:rsidR="00ED4AAF" w:rsidRDefault="00000000">
      <w:pPr>
        <w:spacing w:after="160" w:line="300" w:lineRule="auto"/>
        <w:jc w:val="both"/>
      </w:pPr>
      <w:r>
        <w:t>Every financial intermediary asks its users to trust something. A commercial bank asks for trust in regulation and deposit insurance. A credit cooperative asks for trust in mutual ownership, member oversight, and a guarantee fund. A decentralized lending protocol asks for trust in code, in the oracle feeds that price collateral, and in a token-weighted governance process that can change the rules at any moment. The literature has compared these arrangements on stability, on profitability, and on governance structure. What it has not done is price the trust itself: the annual cost, in basis points of the claim, that a depositor implicitly bears for the possibility that the arrangement fails.</w:t>
      </w:r>
    </w:p>
    <w:p w14:paraId="16AC55CE" w14:textId="77777777" w:rsidR="00ED4AAF" w:rsidRDefault="00000000">
      <w:pPr>
        <w:spacing w:after="160" w:line="300" w:lineRule="auto"/>
        <w:jc w:val="both"/>
      </w:pPr>
      <w:r>
        <w:t xml:space="preserve">This paper produces that price for two institutions at opposite ends of the design space. On one side sits the generic DeFi lending protocol, represented by the population of lending and collateralized-debt-position protocols in the </w:t>
      </w:r>
      <w:proofErr w:type="spellStart"/>
      <w:r>
        <w:t>DefiLlama</w:t>
      </w:r>
      <w:proofErr w:type="spellEnd"/>
      <w:r>
        <w:t xml:space="preserve"> registry and by the catalogue of exploit and governance-attack events recorded against that population since 2021. On the other side sits SICOOB </w:t>
      </w:r>
      <w:proofErr w:type="spellStart"/>
      <w:r>
        <w:t>Mantiqueira</w:t>
      </w:r>
      <w:proofErr w:type="spellEnd"/>
      <w:r>
        <w:t xml:space="preserve">, a Brazilian credit cooperative whose full financial statements, including its risk-rated credit portfolio and its provisioning expense, are published quarterly by the Banco Central do </w:t>
      </w:r>
      <w:proofErr w:type="spellStart"/>
      <w:r>
        <w:t>Brasil</w:t>
      </w:r>
      <w:proofErr w:type="spellEnd"/>
      <w:r>
        <w:t xml:space="preserve"> under the </w:t>
      </w:r>
      <w:proofErr w:type="spellStart"/>
      <w:r>
        <w:t>IF.data</w:t>
      </w:r>
      <w:proofErr w:type="spellEnd"/>
      <w:r>
        <w:t xml:space="preserve"> disclosure regime. The DeFi side loses money in rare, violent episodes: an oracle is manipulated, a contract is drained, a governance vote is captured. The cooperative side loses money continuously, through the ordinary default of member loans. The question is what each loss process costs per year, per unit of value at risk, when both are expressed in the same actuarial language.</w:t>
      </w:r>
    </w:p>
    <w:p w14:paraId="6C64873D" w14:textId="77777777" w:rsidR="00ED4AAF" w:rsidRDefault="00000000">
      <w:pPr>
        <w:spacing w:after="160" w:line="300" w:lineRule="auto"/>
        <w:jc w:val="both"/>
      </w:pPr>
      <w:r>
        <w:t xml:space="preserve">The method is the standard frequency-severity decomposition of operational-risk and insurance mathematics. Event arrival is modeled as Poisson per protocol-year, with the hazard estimated from curated event counts over an exposure base of 843 lending and CDP protocols. Loss severity, defined as the loss divided by the protocol's total value locked on the day before the event, is modeled with an empirical distribution below the 70th percentile and a generalized Pareto tail above it, fitted by maximum likelihood. The compound annual loss distribution comes from Monte Carlo simulation over 200,000 protocol-years with a fixed seed. The premium is defined as the expected annual loss plus a coherent tail loading, ten percent of the 99 percent expected shortfall, a form standard in insurance pricing and consistent with the coherence axioms of </w:t>
      </w:r>
      <w:proofErr w:type="spellStart"/>
      <w:r>
        <w:t>Artzner</w:t>
      </w:r>
      <w:proofErr w:type="spellEnd"/>
      <w:r>
        <w:t xml:space="preserve">, </w:t>
      </w:r>
      <w:proofErr w:type="spellStart"/>
      <w:r>
        <w:t>Delbaen</w:t>
      </w:r>
      <w:proofErr w:type="spellEnd"/>
      <w:r>
        <w:t>, Eber, and Heath (1999). The cooperative comparator is deliberately simple: the absolute annual credit-provision expense over the total classified loan portfolio, year-end 2015 through 2024, taken directly from the regulatory filings.</w:t>
      </w:r>
    </w:p>
    <w:p w14:paraId="67A53355" w14:textId="77777777" w:rsidR="00ED4AAF" w:rsidRDefault="00000000">
      <w:pPr>
        <w:spacing w:after="160" w:line="300" w:lineRule="auto"/>
        <w:jc w:val="both"/>
      </w:pPr>
      <w:r>
        <w:t xml:space="preserve">Three results follow. First, the level. The governance-risk premium for a generic DeFi lending protocol is approximately 918 basis points of TVL per year, against a mean cooperative credit-risk loading of 242 basis points of the loan book, a ratio of 3.8. Even a decade of Brazilian credit cycles, including the 2015-16 recession and the pandemic, never pushed the cooperative's annual loading above 410 basis points, less than half the DeFi premium. Second, </w:t>
      </w:r>
      <w:r>
        <w:lastRenderedPageBreak/>
        <w:t>the composition. The expected annual loss on the DeFi side is only 94 basis points; the remaining 824 basis points are the price of the tail. The 99 percent expected shortfall of the compound annual loss is roughly 8,200 basis points, which is to say that the one-in-a-hundred protocol-year approaches total loss. The cooperative's cost, by contrast, is almost entirely expected loss, funded continuously through provisions. The two institutions do not merely pay different amounts for trust; they pay in different currencies, one in catastrophe risk and one in steady attrition. Third, the shape of the severity law itself. The fitted generalized Pareto shape parameter is strongly negative, reflecting a severity distribution with bounded support: a protocol cannot lose more than everything, and roughly a quarter of curated events reach or approach that bound. The economically meaningful heavy tail lives in the compound annual loss, not in the per-event severity, an inversion of the usual operational-risk picture that Section 5 discusses in detail.</w:t>
      </w:r>
    </w:p>
    <w:p w14:paraId="47AF2D9A" w14:textId="77777777" w:rsidR="00ED4AAF" w:rsidRDefault="00000000">
      <w:pPr>
        <w:spacing w:after="160" w:line="300" w:lineRule="auto"/>
        <w:jc w:val="both"/>
      </w:pPr>
      <w:r>
        <w:t>The contribution is threefold. To the DeFi literature, the paper supplies the first published governance-risk premium for lending protocols expressed in basis points, a number that can be held against observed supply-borrow spreads to ask how much of the DeFi yield is risk compensation rather than economic rent. To the cooperative banking literature, it supplies a like-for-like comparator that translates the well-documented stability of the cooperative form (Hesse and Cihak, 2007; Chiaramonte, Poli, and Oriani, 2015) into a price rather than a z-score. To the methods literature, it demonstrates a fully reproducible pipeline in which every input is frozen open data, every estimate carries a fixed seed, and an independent verifier script recomputes the headline numbers from the raw files, the discipline argued for in Section 6.</w:t>
      </w:r>
    </w:p>
    <w:p w14:paraId="2675521A" w14:textId="77777777" w:rsidR="00ED4AAF" w:rsidRDefault="00000000">
      <w:pPr>
        <w:spacing w:after="160" w:line="300" w:lineRule="auto"/>
        <w:jc w:val="both"/>
      </w:pPr>
      <w:r>
        <w:t>Two caveats belong in the first section rather than the last. The event catalogue observes only detected and reported exploits, so the estimated hazard is a floor; Section 6 stresses the premium under assumed detection failure of 10 and 25 percent and reports a band rather than defending the point. And the capital-charge weight of ten percent on the expected shortfall is an assumption, not an estimate; it is the parameter a reader is most entitled to vary, and the decomposition in Table 4 makes that trivial to do. Neither caveat disturbs the ordering of the two premia, which survives any detection assumption short of the absurd and any tail-loading weight above roughly two percent.</w:t>
      </w:r>
    </w:p>
    <w:p w14:paraId="7DDB6B29" w14:textId="77777777" w:rsidR="00ED4AAF" w:rsidRDefault="00000000">
      <w:pPr>
        <w:pStyle w:val="Heading1"/>
        <w:spacing w:before="320" w:after="200"/>
      </w:pPr>
      <w:r>
        <w:rPr>
          <w:b/>
          <w:bCs/>
          <w:color w:val="000000"/>
          <w:sz w:val="26"/>
          <w:szCs w:val="26"/>
        </w:rPr>
        <w:t>2. Related Literature</w:t>
      </w:r>
    </w:p>
    <w:p w14:paraId="65AAFB2E" w14:textId="77777777" w:rsidR="00ED4AAF" w:rsidRDefault="00000000">
      <w:pPr>
        <w:spacing w:after="160" w:line="300" w:lineRule="auto"/>
        <w:jc w:val="both"/>
      </w:pPr>
      <w:r>
        <w:t>The paper sits at the junction of four literatures, and the preceding chapter of this thesis reviews the first two at length; this section confines itself to what the empirical design borrows from each.</w:t>
      </w:r>
    </w:p>
    <w:p w14:paraId="6B72F424" w14:textId="77777777" w:rsidR="00ED4AAF" w:rsidRDefault="00000000">
      <w:pPr>
        <w:spacing w:after="160" w:line="300" w:lineRule="auto"/>
        <w:jc w:val="both"/>
      </w:pPr>
      <w:r>
        <w:t xml:space="preserve">First, the economics of decentralized governance. Appel and Grennan (2023) analyze 10,639 proposals across 151 DAOs and find that a small number of entities, often three or fewer, control most decisions, a concentration finding that motivates treating governance capture as a live loss channel rather than a theoretical one. Their companion work relates governance </w:t>
      </w:r>
      <w:r>
        <w:lastRenderedPageBreak/>
        <w:t xml:space="preserve">characteristics to abnormal token returns, with participation and security features priced positively (Appel and Grennan, 2024). The systematization literature in computer science identifies the mechanical channels: oracle manipulation, flash-loan-enabled attacks, liquidation cascades, and the composability of protocols as a propagation surface (Gudgeon et al., 2020; Perez et al., 2021; Werner et al., 2022; Schar, 2021). What none of </w:t>
      </w:r>
      <w:proofErr w:type="gramStart"/>
      <w:r>
        <w:t>this</w:t>
      </w:r>
      <w:proofErr w:type="gramEnd"/>
      <w:r>
        <w:t xml:space="preserve"> work supplies is an annualized loss rate. The events are catalogued, the channels are named, but the actuarial step from event catalogue to per-protocol-year premium has not been taken for lending protocols, and that step is this paper.</w:t>
      </w:r>
    </w:p>
    <w:p w14:paraId="340D0084" w14:textId="77777777" w:rsidR="00ED4AAF" w:rsidRDefault="00000000">
      <w:pPr>
        <w:spacing w:after="160" w:line="300" w:lineRule="auto"/>
        <w:jc w:val="both"/>
      </w:pPr>
      <w:r>
        <w:t xml:space="preserve">Second, cooperative banking and financial stability. The canonical result is Hesse and Cihak (2007): across OECD banking systems, cooperative banks are more stable than commercial banks because the low volatility of their returns more than offsets lower profitability and capitalization. Chiaramonte, Poli, and Oriani (2015) confirm the stability advantage in stressed periods, and McKillop et al. (2020) review a literature that consistently finds better loan quality and countercyclical lending in the mutual form. Hansmann (1996) supplies the ownership-economics logic: member ownership economizes on the agency costs that would otherwise be priced into the intermediation spread. The Brazilian cooperative system, supervised by the Banco Central do </w:t>
      </w:r>
      <w:proofErr w:type="spellStart"/>
      <w:r>
        <w:t>Brasil</w:t>
      </w:r>
      <w:proofErr w:type="spellEnd"/>
      <w:r>
        <w:t xml:space="preserve"> with full public disclosure of institution-level financials through </w:t>
      </w:r>
      <w:proofErr w:type="spellStart"/>
      <w:r>
        <w:t>IF.data</w:t>
      </w:r>
      <w:proofErr w:type="spellEnd"/>
      <w:r>
        <w:t xml:space="preserve">, offers unusually clean measurement of what the mutual form </w:t>
      </w:r>
      <w:proofErr w:type="gramStart"/>
      <w:r>
        <w:t>actually costs</w:t>
      </w:r>
      <w:proofErr w:type="gramEnd"/>
      <w:r>
        <w:t xml:space="preserve"> its members in credit risk, and this paper exploits that disclosure for a single, deeply documented institution.</w:t>
      </w:r>
    </w:p>
    <w:p w14:paraId="71D9901B" w14:textId="77777777" w:rsidR="00ED4AAF" w:rsidRDefault="00000000">
      <w:pPr>
        <w:spacing w:after="160" w:line="300" w:lineRule="auto"/>
        <w:jc w:val="both"/>
      </w:pPr>
      <w:r>
        <w:t xml:space="preserve">Third, extreme value theory applied to operational and cyber loss data. The peaks-over-threshold framework rests on Balkema and de Haan (1974) and </w:t>
      </w:r>
      <w:proofErr w:type="spellStart"/>
      <w:r>
        <w:t>Pickands</w:t>
      </w:r>
      <w:proofErr w:type="spellEnd"/>
      <w:r>
        <w:t xml:space="preserve"> (1975): exceedances over a high threshold converge to the generalized Pareto family. </w:t>
      </w:r>
      <w:proofErr w:type="spellStart"/>
      <w:r>
        <w:t>Embrechts</w:t>
      </w:r>
      <w:proofErr w:type="spellEnd"/>
      <w:r>
        <w:t xml:space="preserve">, </w:t>
      </w:r>
      <w:proofErr w:type="spellStart"/>
      <w:r>
        <w:t>Kluppelberg</w:t>
      </w:r>
      <w:proofErr w:type="spellEnd"/>
      <w:r>
        <w:t xml:space="preserve">, and </w:t>
      </w:r>
      <w:proofErr w:type="spellStart"/>
      <w:r>
        <w:t>Mikosch</w:t>
      </w:r>
      <w:proofErr w:type="spellEnd"/>
      <w:r>
        <w:t xml:space="preserve"> (1997) and McNeil, Frey, and </w:t>
      </w:r>
      <w:proofErr w:type="spellStart"/>
      <w:r>
        <w:t>Embrechts</w:t>
      </w:r>
      <w:proofErr w:type="spellEnd"/>
      <w:r>
        <w:t xml:space="preserve"> (2015) are the standard treatments for insurance and risk management. </w:t>
      </w:r>
      <w:proofErr w:type="spellStart"/>
      <w:r>
        <w:t>Moscadelli</w:t>
      </w:r>
      <w:proofErr w:type="spellEnd"/>
      <w:r>
        <w:t xml:space="preserve"> (2004) and Chavez-Demoulin, </w:t>
      </w:r>
      <w:proofErr w:type="spellStart"/>
      <w:r>
        <w:t>Embrechts</w:t>
      </w:r>
      <w:proofErr w:type="spellEnd"/>
      <w:r>
        <w:t xml:space="preserve">, and </w:t>
      </w:r>
      <w:proofErr w:type="spellStart"/>
      <w:r>
        <w:t>Neslehova</w:t>
      </w:r>
      <w:proofErr w:type="spellEnd"/>
      <w:r>
        <w:t xml:space="preserve"> (2006) establish the frequency-severity-plus-GPD architecture as the workhorse of operational-risk quantification, and Eling and Wirfs (2019) apply it to cyber losses, the closest analogue to DeFi exploits in the traditional literature. One technical point from that literature matters here: maximum likelihood for the GPD is nonregular when the shape parameter falls below minus one half (Smith, 1985), and the severity data in this paper, censored at total loss, produce exactly such a fit. Section 4 explains why the estimate is retained as a descriptive device for a bounded severity law while the inferential weight is carried by the simulated compound distribution rather than by asymptotic standard errors on the shape.</w:t>
      </w:r>
    </w:p>
    <w:p w14:paraId="427A58F0" w14:textId="77777777" w:rsidR="00ED4AAF" w:rsidRDefault="00000000">
      <w:pPr>
        <w:spacing w:after="160" w:line="300" w:lineRule="auto"/>
        <w:jc w:val="both"/>
      </w:pPr>
      <w:r>
        <w:t>Fourth, risk measures and premium principles. Expected shortfall is coherent where value-at-risk is not (</w:t>
      </w:r>
      <w:proofErr w:type="spellStart"/>
      <w:r>
        <w:t>Artzner</w:t>
      </w:r>
      <w:proofErr w:type="spellEnd"/>
      <w:r>
        <w:t xml:space="preserve"> et al., 1999; Acerbi and Tasche, 2002), and the expected-loss-plus-tail-loading form of the premium follows standard insurance pricing practice. The Kupiec (1995) coverage test supplies the back-check that the fitted tail is not rejected against realized exceedance counts.</w:t>
      </w:r>
    </w:p>
    <w:p w14:paraId="6AB2D636" w14:textId="77777777" w:rsidR="00ED4AAF" w:rsidRDefault="00000000">
      <w:pPr>
        <w:pStyle w:val="Heading1"/>
        <w:spacing w:before="320" w:after="200"/>
      </w:pPr>
      <w:r>
        <w:rPr>
          <w:b/>
          <w:bCs/>
          <w:color w:val="000000"/>
          <w:sz w:val="26"/>
          <w:szCs w:val="26"/>
        </w:rPr>
        <w:lastRenderedPageBreak/>
        <w:t>3. Data and Institutional Setting</w:t>
      </w:r>
    </w:p>
    <w:p w14:paraId="69D0CC74" w14:textId="77777777" w:rsidR="00ED4AAF" w:rsidRDefault="00000000">
      <w:pPr>
        <w:pStyle w:val="Heading2"/>
        <w:spacing w:before="260" w:after="160"/>
      </w:pPr>
      <w:r>
        <w:rPr>
          <w:b/>
          <w:bCs/>
          <w:i/>
          <w:iCs/>
          <w:color w:val="000000"/>
          <w:sz w:val="24"/>
          <w:szCs w:val="24"/>
        </w:rPr>
        <w:t>3.1 The DeFi side: exploit events and the exposure base</w:t>
      </w:r>
    </w:p>
    <w:p w14:paraId="0A405B21" w14:textId="77777777" w:rsidR="00ED4AAF" w:rsidRDefault="00000000">
      <w:pPr>
        <w:spacing w:after="160" w:line="300" w:lineRule="auto"/>
        <w:jc w:val="both"/>
      </w:pPr>
      <w:r>
        <w:t xml:space="preserve">The event data come from the </w:t>
      </w:r>
      <w:proofErr w:type="spellStart"/>
      <w:r>
        <w:t>DefiLlama</w:t>
      </w:r>
      <w:proofErr w:type="spellEnd"/>
      <w:r>
        <w:t xml:space="preserve"> hacks database, an open catalogue of exploits, hacks, and governance attacks against DeFi protocols, cross-checked against protocol post-mortems. The raw pull, frozen to disk with a recorded pull date so that every result reproduces from static inputs rather than a live API, contains 106 events against lending-class protocols, each with an event date, the loss in US dollars, the protocol's total value locked on the day before the event, and severity defined as loss over pre-event TVL. The exposure base is the </w:t>
      </w:r>
      <w:proofErr w:type="spellStart"/>
      <w:r>
        <w:t>DefiLlama</w:t>
      </w:r>
      <w:proofErr w:type="spellEnd"/>
      <w:r>
        <w:t xml:space="preserve"> protocol registry, 7,639 entries, of which 843 carry the Lending or CDP category labels. Treating those 843 protocols as the population at risk is the paper's exposure convention; it counts each protocol-year equally regardless of size, which is the correct convention for a severity measure already normalized by TVL.</w:t>
      </w:r>
    </w:p>
    <w:p w14:paraId="61F4C46C" w14:textId="77777777" w:rsidR="00ED4AAF" w:rsidRDefault="00000000">
      <w:pPr>
        <w:spacing w:after="160" w:line="300" w:lineRule="auto"/>
        <w:jc w:val="both"/>
      </w:pPr>
      <w:r>
        <w:t>Curation follows four pinned rules, stated here because they are inclusion criteria rather than robustness choices: an event enters the sample only if severity is computable (three events lack pre-event TVL), only if the loss is at least USD 100,000 (four fall below the floor, a materiality screen against noise in small-protocol reporting), and only if it is dated within the complete calendar years 2021 through 2025 (four events predate the window; eleven events dated in 2026 are excluded because 2026 is incomplete at the time of writing and including a partial year would bias the hazard). Severity is capped at 1.0, since a protocol cannot lose more than its TVL, and 20 of the curated severities sit at that cap. The curated sample is 84 events. Table 1 gives the waterfall.</w:t>
      </w:r>
    </w:p>
    <w:p w14:paraId="06204F5C" w14:textId="77777777" w:rsidR="00ED4AAF" w:rsidRDefault="00000000">
      <w:pPr>
        <w:spacing w:after="100" w:line="300" w:lineRule="auto"/>
      </w:pPr>
      <w:r>
        <w:rPr>
          <w:b/>
          <w:bCs/>
        </w:rPr>
        <w:t xml:space="preserve">Table 1. </w:t>
      </w:r>
      <w:r>
        <w:t>Curation waterfall for the exploit-event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00"/>
        <w:gridCol w:w="2160"/>
      </w:tblGrid>
      <w:tr w:rsidR="00ED4AAF" w14:paraId="5E66163E" w14:textId="77777777">
        <w:tblPrEx>
          <w:tblCellMar>
            <w:top w:w="0" w:type="dxa"/>
            <w:bottom w:w="0" w:type="dxa"/>
          </w:tblCellMar>
        </w:tblPrEx>
        <w:tc>
          <w:tcPr>
            <w:tcW w:w="5200" w:type="dxa"/>
            <w:shd w:val="clear" w:color="auto" w:fill="EFEFEF"/>
            <w:tcMar>
              <w:top w:w="60" w:type="dxa"/>
              <w:left w:w="100" w:type="dxa"/>
              <w:bottom w:w="60" w:type="dxa"/>
              <w:right w:w="100" w:type="dxa"/>
            </w:tcMar>
          </w:tcPr>
          <w:p w14:paraId="20913405" w14:textId="77777777" w:rsidR="00ED4AAF" w:rsidRDefault="00000000">
            <w:r>
              <w:rPr>
                <w:b/>
                <w:bCs/>
                <w:sz w:val="20"/>
                <w:szCs w:val="20"/>
              </w:rPr>
              <w:t>Rule</w:t>
            </w:r>
          </w:p>
        </w:tc>
        <w:tc>
          <w:tcPr>
            <w:tcW w:w="2000" w:type="dxa"/>
            <w:shd w:val="clear" w:color="auto" w:fill="EFEFEF"/>
            <w:tcMar>
              <w:top w:w="60" w:type="dxa"/>
              <w:left w:w="100" w:type="dxa"/>
              <w:bottom w:w="60" w:type="dxa"/>
              <w:right w:w="100" w:type="dxa"/>
            </w:tcMar>
          </w:tcPr>
          <w:p w14:paraId="7D85751C" w14:textId="77777777" w:rsidR="00ED4AAF" w:rsidRDefault="00000000">
            <w:pPr>
              <w:jc w:val="right"/>
            </w:pPr>
            <w:r>
              <w:rPr>
                <w:b/>
                <w:bCs/>
                <w:sz w:val="20"/>
                <w:szCs w:val="20"/>
              </w:rPr>
              <w:t>Excluded</w:t>
            </w:r>
          </w:p>
        </w:tc>
        <w:tc>
          <w:tcPr>
            <w:tcW w:w="2160" w:type="dxa"/>
            <w:shd w:val="clear" w:color="auto" w:fill="EFEFEF"/>
            <w:tcMar>
              <w:top w:w="60" w:type="dxa"/>
              <w:left w:w="100" w:type="dxa"/>
              <w:bottom w:w="60" w:type="dxa"/>
              <w:right w:w="100" w:type="dxa"/>
            </w:tcMar>
          </w:tcPr>
          <w:p w14:paraId="03EAB673" w14:textId="77777777" w:rsidR="00ED4AAF" w:rsidRDefault="00000000">
            <w:pPr>
              <w:jc w:val="right"/>
            </w:pPr>
            <w:r>
              <w:rPr>
                <w:b/>
                <w:bCs/>
                <w:sz w:val="20"/>
                <w:szCs w:val="20"/>
              </w:rPr>
              <w:t>Remaining</w:t>
            </w:r>
          </w:p>
        </w:tc>
      </w:tr>
      <w:tr w:rsidR="00ED4AAF" w14:paraId="3CFF3C0B" w14:textId="77777777">
        <w:tblPrEx>
          <w:tblCellMar>
            <w:top w:w="0" w:type="dxa"/>
            <w:bottom w:w="0" w:type="dxa"/>
          </w:tblCellMar>
        </w:tblPrEx>
        <w:tc>
          <w:tcPr>
            <w:tcW w:w="5200" w:type="dxa"/>
            <w:tcMar>
              <w:top w:w="60" w:type="dxa"/>
              <w:left w:w="100" w:type="dxa"/>
              <w:bottom w:w="60" w:type="dxa"/>
              <w:right w:w="100" w:type="dxa"/>
            </w:tcMar>
          </w:tcPr>
          <w:p w14:paraId="0D7038C5" w14:textId="77777777" w:rsidR="00ED4AAF" w:rsidRDefault="00000000">
            <w:r>
              <w:rPr>
                <w:sz w:val="20"/>
                <w:szCs w:val="20"/>
              </w:rPr>
              <w:t>Raw events, lending-class protocols</w:t>
            </w:r>
          </w:p>
        </w:tc>
        <w:tc>
          <w:tcPr>
            <w:tcW w:w="2000" w:type="dxa"/>
            <w:tcMar>
              <w:top w:w="60" w:type="dxa"/>
              <w:left w:w="100" w:type="dxa"/>
              <w:bottom w:w="60" w:type="dxa"/>
              <w:right w:w="100" w:type="dxa"/>
            </w:tcMar>
          </w:tcPr>
          <w:p w14:paraId="253E94CA" w14:textId="77777777" w:rsidR="00ED4AAF" w:rsidRDefault="00ED4AAF">
            <w:pPr>
              <w:jc w:val="right"/>
            </w:pPr>
          </w:p>
        </w:tc>
        <w:tc>
          <w:tcPr>
            <w:tcW w:w="2160" w:type="dxa"/>
            <w:tcMar>
              <w:top w:w="60" w:type="dxa"/>
              <w:left w:w="100" w:type="dxa"/>
              <w:bottom w:w="60" w:type="dxa"/>
              <w:right w:w="100" w:type="dxa"/>
            </w:tcMar>
          </w:tcPr>
          <w:p w14:paraId="6CDEDE33" w14:textId="77777777" w:rsidR="00ED4AAF" w:rsidRDefault="00000000">
            <w:pPr>
              <w:jc w:val="right"/>
            </w:pPr>
            <w:r>
              <w:rPr>
                <w:sz w:val="20"/>
                <w:szCs w:val="20"/>
              </w:rPr>
              <w:t>106</w:t>
            </w:r>
          </w:p>
        </w:tc>
      </w:tr>
      <w:tr w:rsidR="00ED4AAF" w14:paraId="50D8FA3F" w14:textId="77777777">
        <w:tblPrEx>
          <w:tblCellMar>
            <w:top w:w="0" w:type="dxa"/>
            <w:bottom w:w="0" w:type="dxa"/>
          </w:tblCellMar>
        </w:tblPrEx>
        <w:tc>
          <w:tcPr>
            <w:tcW w:w="5200" w:type="dxa"/>
            <w:tcMar>
              <w:top w:w="60" w:type="dxa"/>
              <w:left w:w="100" w:type="dxa"/>
              <w:bottom w:w="60" w:type="dxa"/>
              <w:right w:w="100" w:type="dxa"/>
            </w:tcMar>
          </w:tcPr>
          <w:p w14:paraId="26AF5308" w14:textId="77777777" w:rsidR="00ED4AAF" w:rsidRDefault="00000000">
            <w:r>
              <w:rPr>
                <w:sz w:val="20"/>
                <w:szCs w:val="20"/>
              </w:rPr>
              <w:t>Severity not computable (no pre-event TVL)</w:t>
            </w:r>
          </w:p>
        </w:tc>
        <w:tc>
          <w:tcPr>
            <w:tcW w:w="2000" w:type="dxa"/>
            <w:tcMar>
              <w:top w:w="60" w:type="dxa"/>
              <w:left w:w="100" w:type="dxa"/>
              <w:bottom w:w="60" w:type="dxa"/>
              <w:right w:w="100" w:type="dxa"/>
            </w:tcMar>
          </w:tcPr>
          <w:p w14:paraId="2F111600" w14:textId="77777777" w:rsidR="00ED4AAF" w:rsidRDefault="00000000">
            <w:pPr>
              <w:jc w:val="right"/>
            </w:pPr>
            <w:r>
              <w:rPr>
                <w:sz w:val="20"/>
                <w:szCs w:val="20"/>
              </w:rPr>
              <w:t>3</w:t>
            </w:r>
          </w:p>
        </w:tc>
        <w:tc>
          <w:tcPr>
            <w:tcW w:w="2160" w:type="dxa"/>
            <w:tcMar>
              <w:top w:w="60" w:type="dxa"/>
              <w:left w:w="100" w:type="dxa"/>
              <w:bottom w:w="60" w:type="dxa"/>
              <w:right w:w="100" w:type="dxa"/>
            </w:tcMar>
          </w:tcPr>
          <w:p w14:paraId="3D85CB67" w14:textId="77777777" w:rsidR="00ED4AAF" w:rsidRDefault="00000000">
            <w:pPr>
              <w:jc w:val="right"/>
            </w:pPr>
            <w:r>
              <w:rPr>
                <w:sz w:val="20"/>
                <w:szCs w:val="20"/>
              </w:rPr>
              <w:t>103</w:t>
            </w:r>
          </w:p>
        </w:tc>
      </w:tr>
      <w:tr w:rsidR="00ED4AAF" w14:paraId="759948A7" w14:textId="77777777">
        <w:tblPrEx>
          <w:tblCellMar>
            <w:top w:w="0" w:type="dxa"/>
            <w:bottom w:w="0" w:type="dxa"/>
          </w:tblCellMar>
        </w:tblPrEx>
        <w:tc>
          <w:tcPr>
            <w:tcW w:w="5200" w:type="dxa"/>
            <w:tcMar>
              <w:top w:w="60" w:type="dxa"/>
              <w:left w:w="100" w:type="dxa"/>
              <w:bottom w:w="60" w:type="dxa"/>
              <w:right w:w="100" w:type="dxa"/>
            </w:tcMar>
          </w:tcPr>
          <w:p w14:paraId="2F0515D5" w14:textId="77777777" w:rsidR="00ED4AAF" w:rsidRDefault="00000000">
            <w:r>
              <w:rPr>
                <w:sz w:val="20"/>
                <w:szCs w:val="20"/>
              </w:rPr>
              <w:t>Loss below USD 100,000 floor</w:t>
            </w:r>
          </w:p>
        </w:tc>
        <w:tc>
          <w:tcPr>
            <w:tcW w:w="2000" w:type="dxa"/>
            <w:tcMar>
              <w:top w:w="60" w:type="dxa"/>
              <w:left w:w="100" w:type="dxa"/>
              <w:bottom w:w="60" w:type="dxa"/>
              <w:right w:w="100" w:type="dxa"/>
            </w:tcMar>
          </w:tcPr>
          <w:p w14:paraId="71236923" w14:textId="77777777" w:rsidR="00ED4AAF" w:rsidRDefault="00000000">
            <w:pPr>
              <w:jc w:val="right"/>
            </w:pPr>
            <w:r>
              <w:rPr>
                <w:sz w:val="20"/>
                <w:szCs w:val="20"/>
              </w:rPr>
              <w:t>4</w:t>
            </w:r>
          </w:p>
        </w:tc>
        <w:tc>
          <w:tcPr>
            <w:tcW w:w="2160" w:type="dxa"/>
            <w:tcMar>
              <w:top w:w="60" w:type="dxa"/>
              <w:left w:w="100" w:type="dxa"/>
              <w:bottom w:w="60" w:type="dxa"/>
              <w:right w:w="100" w:type="dxa"/>
            </w:tcMar>
          </w:tcPr>
          <w:p w14:paraId="76855EF8" w14:textId="77777777" w:rsidR="00ED4AAF" w:rsidRDefault="00000000">
            <w:pPr>
              <w:jc w:val="right"/>
            </w:pPr>
            <w:r>
              <w:rPr>
                <w:sz w:val="20"/>
                <w:szCs w:val="20"/>
              </w:rPr>
              <w:t>99</w:t>
            </w:r>
          </w:p>
        </w:tc>
      </w:tr>
      <w:tr w:rsidR="00ED4AAF" w14:paraId="6ECA5B33" w14:textId="77777777">
        <w:tblPrEx>
          <w:tblCellMar>
            <w:top w:w="0" w:type="dxa"/>
            <w:bottom w:w="0" w:type="dxa"/>
          </w:tblCellMar>
        </w:tblPrEx>
        <w:tc>
          <w:tcPr>
            <w:tcW w:w="5200" w:type="dxa"/>
            <w:tcMar>
              <w:top w:w="60" w:type="dxa"/>
              <w:left w:w="100" w:type="dxa"/>
              <w:bottom w:w="60" w:type="dxa"/>
              <w:right w:w="100" w:type="dxa"/>
            </w:tcMar>
          </w:tcPr>
          <w:p w14:paraId="1485128D" w14:textId="77777777" w:rsidR="00ED4AAF" w:rsidRDefault="00000000">
            <w:r>
              <w:rPr>
                <w:sz w:val="20"/>
                <w:szCs w:val="20"/>
              </w:rPr>
              <w:t>Dated before 2021</w:t>
            </w:r>
          </w:p>
        </w:tc>
        <w:tc>
          <w:tcPr>
            <w:tcW w:w="2000" w:type="dxa"/>
            <w:tcMar>
              <w:top w:w="60" w:type="dxa"/>
              <w:left w:w="100" w:type="dxa"/>
              <w:bottom w:w="60" w:type="dxa"/>
              <w:right w:w="100" w:type="dxa"/>
            </w:tcMar>
          </w:tcPr>
          <w:p w14:paraId="502563A5" w14:textId="77777777" w:rsidR="00ED4AAF" w:rsidRDefault="00000000">
            <w:pPr>
              <w:jc w:val="right"/>
            </w:pPr>
            <w:r>
              <w:rPr>
                <w:sz w:val="20"/>
                <w:szCs w:val="20"/>
              </w:rPr>
              <w:t>4</w:t>
            </w:r>
          </w:p>
        </w:tc>
        <w:tc>
          <w:tcPr>
            <w:tcW w:w="2160" w:type="dxa"/>
            <w:tcMar>
              <w:top w:w="60" w:type="dxa"/>
              <w:left w:w="100" w:type="dxa"/>
              <w:bottom w:w="60" w:type="dxa"/>
              <w:right w:w="100" w:type="dxa"/>
            </w:tcMar>
          </w:tcPr>
          <w:p w14:paraId="456C822A" w14:textId="77777777" w:rsidR="00ED4AAF" w:rsidRDefault="00000000">
            <w:pPr>
              <w:jc w:val="right"/>
            </w:pPr>
            <w:r>
              <w:rPr>
                <w:sz w:val="20"/>
                <w:szCs w:val="20"/>
              </w:rPr>
              <w:t>95</w:t>
            </w:r>
          </w:p>
        </w:tc>
      </w:tr>
      <w:tr w:rsidR="00ED4AAF" w14:paraId="4B5015B3" w14:textId="77777777">
        <w:tblPrEx>
          <w:tblCellMar>
            <w:top w:w="0" w:type="dxa"/>
            <w:bottom w:w="0" w:type="dxa"/>
          </w:tblCellMar>
        </w:tblPrEx>
        <w:tc>
          <w:tcPr>
            <w:tcW w:w="5200" w:type="dxa"/>
            <w:tcMar>
              <w:top w:w="60" w:type="dxa"/>
              <w:left w:w="100" w:type="dxa"/>
              <w:bottom w:w="60" w:type="dxa"/>
              <w:right w:w="100" w:type="dxa"/>
            </w:tcMar>
          </w:tcPr>
          <w:p w14:paraId="64199A7A" w14:textId="77777777" w:rsidR="00ED4AAF" w:rsidRDefault="00000000">
            <w:r>
              <w:rPr>
                <w:sz w:val="20"/>
                <w:szCs w:val="20"/>
              </w:rPr>
              <w:t>Dated in incomplete year 2026</w:t>
            </w:r>
          </w:p>
        </w:tc>
        <w:tc>
          <w:tcPr>
            <w:tcW w:w="2000" w:type="dxa"/>
            <w:tcMar>
              <w:top w:w="60" w:type="dxa"/>
              <w:left w:w="100" w:type="dxa"/>
              <w:bottom w:w="60" w:type="dxa"/>
              <w:right w:w="100" w:type="dxa"/>
            </w:tcMar>
          </w:tcPr>
          <w:p w14:paraId="45482A57" w14:textId="77777777" w:rsidR="00ED4AAF" w:rsidRDefault="00000000">
            <w:pPr>
              <w:jc w:val="right"/>
            </w:pPr>
            <w:r>
              <w:rPr>
                <w:sz w:val="20"/>
                <w:szCs w:val="20"/>
              </w:rPr>
              <w:t>11</w:t>
            </w:r>
          </w:p>
        </w:tc>
        <w:tc>
          <w:tcPr>
            <w:tcW w:w="2160" w:type="dxa"/>
            <w:tcMar>
              <w:top w:w="60" w:type="dxa"/>
              <w:left w:w="100" w:type="dxa"/>
              <w:bottom w:w="60" w:type="dxa"/>
              <w:right w:w="100" w:type="dxa"/>
            </w:tcMar>
          </w:tcPr>
          <w:p w14:paraId="7C8D1448" w14:textId="77777777" w:rsidR="00ED4AAF" w:rsidRDefault="00000000">
            <w:pPr>
              <w:jc w:val="right"/>
            </w:pPr>
            <w:r>
              <w:rPr>
                <w:sz w:val="20"/>
                <w:szCs w:val="20"/>
              </w:rPr>
              <w:t>84</w:t>
            </w:r>
          </w:p>
        </w:tc>
      </w:tr>
      <w:tr w:rsidR="00ED4AAF" w14:paraId="78D5CE2B" w14:textId="77777777">
        <w:tblPrEx>
          <w:tblCellMar>
            <w:top w:w="0" w:type="dxa"/>
            <w:bottom w:w="0" w:type="dxa"/>
          </w:tblCellMar>
        </w:tblPrEx>
        <w:tc>
          <w:tcPr>
            <w:tcW w:w="5200" w:type="dxa"/>
            <w:tcMar>
              <w:top w:w="60" w:type="dxa"/>
              <w:left w:w="100" w:type="dxa"/>
              <w:bottom w:w="60" w:type="dxa"/>
              <w:right w:w="100" w:type="dxa"/>
            </w:tcMar>
          </w:tcPr>
          <w:p w14:paraId="5A5D647E" w14:textId="77777777" w:rsidR="00ED4AAF" w:rsidRDefault="00000000">
            <w:r>
              <w:rPr>
                <w:b/>
                <w:bCs/>
                <w:sz w:val="20"/>
                <w:szCs w:val="20"/>
              </w:rPr>
              <w:t>Curated sample (severity capped at 1.0; 20 at cap)</w:t>
            </w:r>
          </w:p>
        </w:tc>
        <w:tc>
          <w:tcPr>
            <w:tcW w:w="2000" w:type="dxa"/>
            <w:tcMar>
              <w:top w:w="60" w:type="dxa"/>
              <w:left w:w="100" w:type="dxa"/>
              <w:bottom w:w="60" w:type="dxa"/>
              <w:right w:w="100" w:type="dxa"/>
            </w:tcMar>
          </w:tcPr>
          <w:p w14:paraId="4BE52843" w14:textId="77777777" w:rsidR="00ED4AAF" w:rsidRDefault="00ED4AAF"/>
        </w:tc>
        <w:tc>
          <w:tcPr>
            <w:tcW w:w="2160" w:type="dxa"/>
            <w:tcMar>
              <w:top w:w="60" w:type="dxa"/>
              <w:left w:w="100" w:type="dxa"/>
              <w:bottom w:w="60" w:type="dxa"/>
              <w:right w:w="100" w:type="dxa"/>
            </w:tcMar>
          </w:tcPr>
          <w:p w14:paraId="31468129" w14:textId="77777777" w:rsidR="00ED4AAF" w:rsidRDefault="00000000">
            <w:pPr>
              <w:jc w:val="right"/>
            </w:pPr>
            <w:r>
              <w:rPr>
                <w:b/>
                <w:bCs/>
                <w:sz w:val="20"/>
                <w:szCs w:val="20"/>
              </w:rPr>
              <w:t>84</w:t>
            </w:r>
          </w:p>
        </w:tc>
      </w:tr>
    </w:tbl>
    <w:p w14:paraId="3D534461" w14:textId="77777777" w:rsidR="00ED4AAF" w:rsidRDefault="00000000">
      <w:pPr>
        <w:spacing w:before="80" w:after="240"/>
        <w:jc w:val="both"/>
      </w:pPr>
      <w:r>
        <w:rPr>
          <w:i/>
          <w:iCs/>
          <w:sz w:val="20"/>
          <w:szCs w:val="20"/>
        </w:rPr>
        <w:t xml:space="preserve">Notes: Severity is </w:t>
      </w:r>
      <w:proofErr w:type="gramStart"/>
      <w:r>
        <w:rPr>
          <w:i/>
          <w:iCs/>
          <w:sz w:val="20"/>
          <w:szCs w:val="20"/>
        </w:rPr>
        <w:t>loss</w:t>
      </w:r>
      <w:proofErr w:type="gramEnd"/>
      <w:r>
        <w:rPr>
          <w:i/>
          <w:iCs/>
          <w:sz w:val="20"/>
          <w:szCs w:val="20"/>
        </w:rPr>
        <w:t xml:space="preserve"> over pre-event TVL. The USD 100,000 floor is a materiality screen. Events in 2026 are excluded because the calendar year is incomplete; including them would understate exposure time relative to event counts and bias the hazard upward.</w:t>
      </w:r>
    </w:p>
    <w:p w14:paraId="3E730159" w14:textId="77777777" w:rsidR="00ED4AAF" w:rsidRDefault="00000000">
      <w:pPr>
        <w:spacing w:after="160" w:line="300" w:lineRule="auto"/>
        <w:jc w:val="both"/>
      </w:pPr>
      <w:r>
        <w:t>The curated events distribute across years as 6 in 2021, 15 in 2022, 24 in 2023, 21 in 2024, and 18 in 2025, a mean of 16.8 events per year. Against 843 protocols at risk, the empirical hazard is 0.019929 events per protocol-year: a randomly chosen lending protocol suffers a material exploit about once every fifty years, which sounds comfortable until the severity distribution is placed next to it.</w:t>
      </w:r>
    </w:p>
    <w:p w14:paraId="5D079171" w14:textId="77777777" w:rsidR="00ED4AAF" w:rsidRDefault="00000000">
      <w:pPr>
        <w:pStyle w:val="Heading2"/>
        <w:spacing w:before="260" w:after="160"/>
      </w:pPr>
      <w:r>
        <w:rPr>
          <w:b/>
          <w:bCs/>
          <w:i/>
          <w:iCs/>
          <w:color w:val="000000"/>
          <w:sz w:val="24"/>
          <w:szCs w:val="24"/>
        </w:rPr>
        <w:lastRenderedPageBreak/>
        <w:t xml:space="preserve">3.2 The cooperative side: SICOOB </w:t>
      </w:r>
      <w:proofErr w:type="spellStart"/>
      <w:r>
        <w:rPr>
          <w:b/>
          <w:bCs/>
          <w:i/>
          <w:iCs/>
          <w:color w:val="000000"/>
          <w:sz w:val="24"/>
          <w:szCs w:val="24"/>
        </w:rPr>
        <w:t>Mantiqueira</w:t>
      </w:r>
      <w:proofErr w:type="spellEnd"/>
      <w:r>
        <w:rPr>
          <w:b/>
          <w:bCs/>
          <w:i/>
          <w:iCs/>
          <w:color w:val="000000"/>
          <w:sz w:val="24"/>
          <w:szCs w:val="24"/>
        </w:rPr>
        <w:t xml:space="preserve"> through </w:t>
      </w:r>
      <w:proofErr w:type="spellStart"/>
      <w:r>
        <w:rPr>
          <w:b/>
          <w:bCs/>
          <w:i/>
          <w:iCs/>
          <w:color w:val="000000"/>
          <w:sz w:val="24"/>
          <w:szCs w:val="24"/>
        </w:rPr>
        <w:t>IF.data</w:t>
      </w:r>
      <w:proofErr w:type="spellEnd"/>
    </w:p>
    <w:p w14:paraId="06637B4A" w14:textId="77777777" w:rsidR="00ED4AAF" w:rsidRDefault="00000000">
      <w:pPr>
        <w:spacing w:after="160" w:line="300" w:lineRule="auto"/>
        <w:jc w:val="both"/>
      </w:pPr>
      <w:r>
        <w:t xml:space="preserve">SICOOB </w:t>
      </w:r>
      <w:proofErr w:type="spellStart"/>
      <w:r>
        <w:t>Mantiqueira</w:t>
      </w:r>
      <w:proofErr w:type="spellEnd"/>
      <w:r>
        <w:t xml:space="preserve"> is a singular credit cooperative in the SICOOB system, Brazil's largest cooperative financial network. Under the </w:t>
      </w:r>
      <w:proofErr w:type="spellStart"/>
      <w:r>
        <w:t>IF.data</w:t>
      </w:r>
      <w:proofErr w:type="spellEnd"/>
      <w:r>
        <w:t xml:space="preserve"> regime the Banco Central do </w:t>
      </w:r>
      <w:proofErr w:type="spellStart"/>
      <w:r>
        <w:t>Brasil</w:t>
      </w:r>
      <w:proofErr w:type="spellEnd"/>
      <w:r>
        <w:t xml:space="preserve"> publishes, for every supervised institution, quarterly balance sheets, income statements, and the credit portfolio classified into the AA-to-H risk grades of Resolution 2,682. The extract used here spans 2014 through 2025, </w:t>
      </w:r>
      <w:proofErr w:type="gramStart"/>
      <w:r>
        <w:t>579 line</w:t>
      </w:r>
      <w:proofErr w:type="gramEnd"/>
      <w:r>
        <w:t xml:space="preserve"> items, in Portuguese as filed. Two lines carry the analysis: the annual provision expense for credits of difficult liquidation, taken in absolute value from the year-end income statement, and the total classified credit portfolio from the risk report. Their ratio is </w:t>
      </w:r>
      <w:proofErr w:type="gramStart"/>
      <w:r>
        <w:t>the credit</w:t>
      </w:r>
      <w:proofErr w:type="gramEnd"/>
      <w:r>
        <w:t>-risk loading, the number of basis points of the loan book that member-borrowers' defaults consumed in that year. It is the cooperative's price of trust in the same sense that the exploit premium is DeFi's: the annual cost of the loss channel intrinsic to the institutional form.</w:t>
      </w:r>
    </w:p>
    <w:p w14:paraId="317D7431" w14:textId="77777777" w:rsidR="00ED4AAF" w:rsidRDefault="00000000">
      <w:pPr>
        <w:spacing w:after="160" w:line="300" w:lineRule="auto"/>
        <w:jc w:val="both"/>
      </w:pPr>
      <w:r>
        <w:t>One measurement note. The provision line is a signed net figure in the filings, negative in the income statement convention, and must be taken in absolute value; the portfolio denominator is the Total Geral row of the risk report, not the balance-sheet credit line, so that numerator and denominator refer to the same classified book. Both choices are pinned in the published pipeline.</w:t>
      </w:r>
    </w:p>
    <w:p w14:paraId="34DF3905" w14:textId="77777777" w:rsidR="00ED4AAF" w:rsidRDefault="00000000">
      <w:pPr>
        <w:pStyle w:val="Heading1"/>
        <w:spacing w:before="320" w:after="200"/>
      </w:pPr>
      <w:r>
        <w:rPr>
          <w:b/>
          <w:bCs/>
          <w:color w:val="000000"/>
          <w:sz w:val="26"/>
          <w:szCs w:val="26"/>
        </w:rPr>
        <w:t>4. Methodology</w:t>
      </w:r>
    </w:p>
    <w:p w14:paraId="729B37A6" w14:textId="77777777" w:rsidR="00ED4AAF" w:rsidRDefault="00000000">
      <w:pPr>
        <w:pStyle w:val="Heading2"/>
        <w:spacing w:before="260" w:after="160"/>
      </w:pPr>
      <w:r>
        <w:rPr>
          <w:b/>
          <w:bCs/>
          <w:i/>
          <w:iCs/>
          <w:color w:val="000000"/>
          <w:sz w:val="24"/>
          <w:szCs w:val="24"/>
        </w:rPr>
        <w:t>4.1 Frequency</w:t>
      </w:r>
    </w:p>
    <w:p w14:paraId="47B2DC68" w14:textId="77777777" w:rsidR="00ED4AAF" w:rsidRDefault="00000000">
      <w:pPr>
        <w:spacing w:after="160" w:line="300" w:lineRule="auto"/>
        <w:jc w:val="both"/>
      </w:pPr>
      <w:r>
        <w:t xml:space="preserve">Event arrival is Poisson per protocol-year with hazard equal to the mean annual curated event count over the exposure base, 16.8 over 843, or 0.019929. The Poisson assumption is the natural null for pooled arrivals across a large population of small individual intensities; Section 6 notes that a negative binomial alternative, which would capture overdispersion from common-mode years, moves the tail of the compound distribution modestly and the ordering of the two premia not at all. The pooled hazard treats the population of lending protocols as exchangeable, which is the correct object for the question asked here, the premium for a generic protocol, rather than the premium for </w:t>
      </w:r>
      <w:proofErr w:type="spellStart"/>
      <w:r>
        <w:t>Aave</w:t>
      </w:r>
      <w:proofErr w:type="spellEnd"/>
      <w:r>
        <w:t xml:space="preserve"> specifically, whose realized event history is, so far, better than the population's.</w:t>
      </w:r>
    </w:p>
    <w:p w14:paraId="33BE5A6C" w14:textId="77777777" w:rsidR="00ED4AAF" w:rsidRDefault="00000000">
      <w:pPr>
        <w:pStyle w:val="Heading2"/>
        <w:spacing w:before="260" w:after="160"/>
      </w:pPr>
      <w:r>
        <w:rPr>
          <w:b/>
          <w:bCs/>
          <w:i/>
          <w:iCs/>
          <w:color w:val="000000"/>
          <w:sz w:val="24"/>
          <w:szCs w:val="24"/>
        </w:rPr>
        <w:t>4.2 Severity</w:t>
      </w:r>
    </w:p>
    <w:p w14:paraId="289FB681" w14:textId="77777777" w:rsidR="00ED4AAF" w:rsidRDefault="00000000">
      <w:pPr>
        <w:spacing w:after="160" w:line="300" w:lineRule="auto"/>
        <w:jc w:val="both"/>
      </w:pPr>
      <w:r>
        <w:t xml:space="preserve">Severity is modeled with a spliced law. Below the threshold u, set at the 70th percentile of the 84 curated severities, u = 0.877, the distribution is the empirical one: draws resample the 59 sub-threshold observations. Above u, the 25 exceedances follow a generalized Pareto distribution fitted by maximum likelihood, with the optimizer parameterized in shape and log-scale to keep the scale positive and the likelihood well-behaved near the support boundary. The fitted shape is -1.594 and the fitted scale 0.196. A strongly negative shape means bounded support, and the bound is economically real: severity cannot exceed one, and 20 of 84 observations are at or near that censoring point. The threshold itself is high in absolute terms </w:t>
      </w:r>
      <w:r>
        <w:lastRenderedPageBreak/>
        <w:t>because the severity distribution of lending exploits is bimodal in practice, a body of partial losses and a heavy cluster of near-total drains, and the 70th percentile splits precisely at the shoulder of that second mode.</w:t>
      </w:r>
    </w:p>
    <w:p w14:paraId="12294177" w14:textId="77777777" w:rsidR="00ED4AAF" w:rsidRDefault="00000000">
      <w:pPr>
        <w:spacing w:after="160" w:line="300" w:lineRule="auto"/>
        <w:jc w:val="both"/>
      </w:pPr>
      <w:r>
        <w:t xml:space="preserve">A word on inference, in the interest of epistemic hygiene. With shape below -0.5 the maximum-likelihood estimator for the GPD is nonregular (Smith, 1985): asymptotic normality fails and reported standard errors on the shape would be decorative. The fit is therefore treated as a descriptive parameterization of a bounded, censored severity law, adequate for simulation, and no confidence interval on the shape is reported. All inferential statements about the premium come from the simulated compound distribution and from the robustness sweeps of Section 6, not from the </w:t>
      </w:r>
      <w:proofErr w:type="spellStart"/>
      <w:r>
        <w:t>asymptotics</w:t>
      </w:r>
      <w:proofErr w:type="spellEnd"/>
      <w:r>
        <w:t xml:space="preserve"> of the severity fit. This is a deliberate transfer of inferential weight from a fragile object to a sturdy one.</w:t>
      </w:r>
    </w:p>
    <w:p w14:paraId="53C13A76" w14:textId="77777777" w:rsidR="00ED4AAF" w:rsidRDefault="00000000">
      <w:pPr>
        <w:pStyle w:val="Heading2"/>
        <w:spacing w:before="260" w:after="160"/>
      </w:pPr>
      <w:r>
        <w:rPr>
          <w:b/>
          <w:bCs/>
          <w:i/>
          <w:iCs/>
          <w:color w:val="000000"/>
          <w:sz w:val="24"/>
          <w:szCs w:val="24"/>
        </w:rPr>
        <w:t>4.3 The compound annual loss and the premium</w:t>
      </w:r>
    </w:p>
    <w:p w14:paraId="36EC9E9A" w14:textId="77777777" w:rsidR="00ED4AAF" w:rsidRDefault="00000000">
      <w:pPr>
        <w:spacing w:after="160" w:line="300" w:lineRule="auto"/>
        <w:jc w:val="both"/>
      </w:pPr>
      <w:r>
        <w:t>The compound distribution is simulated over 200,000 protocol-years with a fixed seed (12345, recorded in the output for exact reproducibility). Each simulated year draws a Poisson event count; each event draws from the empirical body with probability 0.694 and from the fitted GPD tail, capped at 1.0, otherwise; severities sum within the year and the annual total is capped at 1.0, since a protocol cannot lose more than everything in a year any more than in an event. The premium is then</w:t>
      </w:r>
    </w:p>
    <w:p w14:paraId="2E8D5CB4" w14:textId="77777777" w:rsidR="00ED4AAF" w:rsidRDefault="00000000">
      <w:pPr>
        <w:spacing w:after="160" w:line="300" w:lineRule="auto"/>
        <w:jc w:val="center"/>
      </w:pPr>
      <w:r>
        <w:t>Premium = EAL + 0.10 × ES99,</w:t>
      </w:r>
    </w:p>
    <w:p w14:paraId="002A284E" w14:textId="77777777" w:rsidR="00ED4AAF" w:rsidRDefault="00000000">
      <w:pPr>
        <w:spacing w:after="160" w:line="300" w:lineRule="auto"/>
        <w:jc w:val="both"/>
      </w:pPr>
      <w:r>
        <w:t xml:space="preserve">expected annual loss plus ten percent of the 99 percent expected shortfall of the compound annual loss. The tail-loading form follows insurance premium principles built on coherent risk measures; the ten percent weight is an assumed cost of tail capital, labeled as an assumption throughout, and Table 4 reports the decomposition so a reader who prefers five or fifteen percent can reprice in one line. </w:t>
      </w:r>
      <w:proofErr w:type="gramStart"/>
      <w:r>
        <w:t>The cooperative</w:t>
      </w:r>
      <w:proofErr w:type="gramEnd"/>
      <w:r>
        <w:t xml:space="preserve"> loading requires no simulation: it is the realized provision-over-portfolio ratio per year, 2015 through 2024, and its ten-year </w:t>
      </w:r>
      <w:proofErr w:type="gramStart"/>
      <w:r>
        <w:t>mean</w:t>
      </w:r>
      <w:proofErr w:type="gramEnd"/>
      <w:r>
        <w:t>.</w:t>
      </w:r>
    </w:p>
    <w:p w14:paraId="6C58F3AD" w14:textId="77777777" w:rsidR="00ED4AAF" w:rsidRDefault="00000000">
      <w:pPr>
        <w:pStyle w:val="Heading1"/>
        <w:spacing w:before="320" w:after="200"/>
      </w:pPr>
      <w:r>
        <w:rPr>
          <w:b/>
          <w:bCs/>
          <w:color w:val="000000"/>
          <w:sz w:val="26"/>
          <w:szCs w:val="26"/>
        </w:rPr>
        <w:t>5. Results</w:t>
      </w:r>
    </w:p>
    <w:p w14:paraId="2B892EA8" w14:textId="77777777" w:rsidR="00ED4AAF" w:rsidRDefault="00000000">
      <w:pPr>
        <w:pStyle w:val="Heading2"/>
        <w:spacing w:before="260" w:after="160"/>
      </w:pPr>
      <w:r>
        <w:rPr>
          <w:b/>
          <w:bCs/>
          <w:i/>
          <w:iCs/>
          <w:color w:val="000000"/>
          <w:sz w:val="24"/>
          <w:szCs w:val="24"/>
        </w:rPr>
        <w:t>5.1 Parameter estimates</w:t>
      </w:r>
    </w:p>
    <w:p w14:paraId="48CFC02B" w14:textId="77777777" w:rsidR="00ED4AAF" w:rsidRDefault="00000000">
      <w:pPr>
        <w:spacing w:after="100" w:line="300" w:lineRule="auto"/>
      </w:pPr>
      <w:r>
        <w:rPr>
          <w:b/>
          <w:bCs/>
        </w:rPr>
        <w:t xml:space="preserve">Table 2. </w:t>
      </w:r>
      <w:r>
        <w:t>Fitted parameters, DeFi lending exploit process, 2021-2025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200"/>
        <w:gridCol w:w="2160"/>
      </w:tblGrid>
      <w:tr w:rsidR="00ED4AAF" w14:paraId="3DF03DFE" w14:textId="77777777">
        <w:tblPrEx>
          <w:tblCellMar>
            <w:top w:w="0" w:type="dxa"/>
            <w:bottom w:w="0" w:type="dxa"/>
          </w:tblCellMar>
        </w:tblPrEx>
        <w:tc>
          <w:tcPr>
            <w:tcW w:w="5000" w:type="dxa"/>
            <w:shd w:val="clear" w:color="auto" w:fill="EFEFEF"/>
            <w:tcMar>
              <w:top w:w="60" w:type="dxa"/>
              <w:left w:w="100" w:type="dxa"/>
              <w:bottom w:w="60" w:type="dxa"/>
              <w:right w:w="100" w:type="dxa"/>
            </w:tcMar>
          </w:tcPr>
          <w:p w14:paraId="650C02FE" w14:textId="77777777" w:rsidR="00ED4AAF" w:rsidRDefault="00000000">
            <w:r>
              <w:rPr>
                <w:b/>
                <w:bCs/>
                <w:sz w:val="20"/>
                <w:szCs w:val="20"/>
              </w:rPr>
              <w:t>Quantity</w:t>
            </w:r>
          </w:p>
        </w:tc>
        <w:tc>
          <w:tcPr>
            <w:tcW w:w="2200" w:type="dxa"/>
            <w:shd w:val="clear" w:color="auto" w:fill="EFEFEF"/>
            <w:tcMar>
              <w:top w:w="60" w:type="dxa"/>
              <w:left w:w="100" w:type="dxa"/>
              <w:bottom w:w="60" w:type="dxa"/>
              <w:right w:w="100" w:type="dxa"/>
            </w:tcMar>
          </w:tcPr>
          <w:p w14:paraId="18DBAE28" w14:textId="77777777" w:rsidR="00ED4AAF" w:rsidRDefault="00000000">
            <w:pPr>
              <w:jc w:val="right"/>
            </w:pPr>
            <w:r>
              <w:rPr>
                <w:b/>
                <w:bCs/>
                <w:sz w:val="20"/>
                <w:szCs w:val="20"/>
              </w:rPr>
              <w:t>Value</w:t>
            </w:r>
          </w:p>
        </w:tc>
        <w:tc>
          <w:tcPr>
            <w:tcW w:w="2160" w:type="dxa"/>
            <w:shd w:val="clear" w:color="auto" w:fill="EFEFEF"/>
            <w:tcMar>
              <w:top w:w="60" w:type="dxa"/>
              <w:left w:w="100" w:type="dxa"/>
              <w:bottom w:w="60" w:type="dxa"/>
              <w:right w:w="100" w:type="dxa"/>
            </w:tcMar>
          </w:tcPr>
          <w:p w14:paraId="3EB4ECE1" w14:textId="77777777" w:rsidR="00ED4AAF" w:rsidRDefault="00000000">
            <w:r>
              <w:rPr>
                <w:b/>
                <w:bCs/>
                <w:sz w:val="20"/>
                <w:szCs w:val="20"/>
              </w:rPr>
              <w:t>Basis</w:t>
            </w:r>
          </w:p>
        </w:tc>
      </w:tr>
      <w:tr w:rsidR="00ED4AAF" w14:paraId="5A8B33C6" w14:textId="77777777">
        <w:tblPrEx>
          <w:tblCellMar>
            <w:top w:w="0" w:type="dxa"/>
            <w:bottom w:w="0" w:type="dxa"/>
          </w:tblCellMar>
        </w:tblPrEx>
        <w:tc>
          <w:tcPr>
            <w:tcW w:w="5000" w:type="dxa"/>
            <w:tcMar>
              <w:top w:w="60" w:type="dxa"/>
              <w:left w:w="100" w:type="dxa"/>
              <w:bottom w:w="60" w:type="dxa"/>
              <w:right w:w="100" w:type="dxa"/>
            </w:tcMar>
          </w:tcPr>
          <w:p w14:paraId="44871356" w14:textId="77777777" w:rsidR="00ED4AAF" w:rsidRDefault="00000000">
            <w:r>
              <w:rPr>
                <w:sz w:val="20"/>
                <w:szCs w:val="20"/>
              </w:rPr>
              <w:t>Curated events</w:t>
            </w:r>
          </w:p>
        </w:tc>
        <w:tc>
          <w:tcPr>
            <w:tcW w:w="2200" w:type="dxa"/>
            <w:tcMar>
              <w:top w:w="60" w:type="dxa"/>
              <w:left w:w="100" w:type="dxa"/>
              <w:bottom w:w="60" w:type="dxa"/>
              <w:right w:w="100" w:type="dxa"/>
            </w:tcMar>
          </w:tcPr>
          <w:p w14:paraId="0CFDB0D3" w14:textId="77777777" w:rsidR="00ED4AAF" w:rsidRDefault="00000000">
            <w:pPr>
              <w:jc w:val="right"/>
            </w:pPr>
            <w:r>
              <w:rPr>
                <w:sz w:val="20"/>
                <w:szCs w:val="20"/>
              </w:rPr>
              <w:t>84</w:t>
            </w:r>
          </w:p>
        </w:tc>
        <w:tc>
          <w:tcPr>
            <w:tcW w:w="2160" w:type="dxa"/>
            <w:tcMar>
              <w:top w:w="60" w:type="dxa"/>
              <w:left w:w="100" w:type="dxa"/>
              <w:bottom w:w="60" w:type="dxa"/>
              <w:right w:w="100" w:type="dxa"/>
            </w:tcMar>
          </w:tcPr>
          <w:p w14:paraId="7B753550" w14:textId="77777777" w:rsidR="00ED4AAF" w:rsidRDefault="00000000">
            <w:r>
              <w:rPr>
                <w:sz w:val="20"/>
                <w:szCs w:val="20"/>
              </w:rPr>
              <w:t>count</w:t>
            </w:r>
          </w:p>
        </w:tc>
      </w:tr>
      <w:tr w:rsidR="00ED4AAF" w14:paraId="3FE608C2" w14:textId="77777777">
        <w:tblPrEx>
          <w:tblCellMar>
            <w:top w:w="0" w:type="dxa"/>
            <w:bottom w:w="0" w:type="dxa"/>
          </w:tblCellMar>
        </w:tblPrEx>
        <w:tc>
          <w:tcPr>
            <w:tcW w:w="5000" w:type="dxa"/>
            <w:tcMar>
              <w:top w:w="60" w:type="dxa"/>
              <w:left w:w="100" w:type="dxa"/>
              <w:bottom w:w="60" w:type="dxa"/>
              <w:right w:w="100" w:type="dxa"/>
            </w:tcMar>
          </w:tcPr>
          <w:p w14:paraId="294E1A8F" w14:textId="77777777" w:rsidR="00ED4AAF" w:rsidRDefault="00000000">
            <w:r>
              <w:rPr>
                <w:sz w:val="20"/>
                <w:szCs w:val="20"/>
              </w:rPr>
              <w:t>Exposure base (Lending + CDP protocols)</w:t>
            </w:r>
          </w:p>
        </w:tc>
        <w:tc>
          <w:tcPr>
            <w:tcW w:w="2200" w:type="dxa"/>
            <w:tcMar>
              <w:top w:w="60" w:type="dxa"/>
              <w:left w:w="100" w:type="dxa"/>
              <w:bottom w:w="60" w:type="dxa"/>
              <w:right w:w="100" w:type="dxa"/>
            </w:tcMar>
          </w:tcPr>
          <w:p w14:paraId="345D9B71" w14:textId="77777777" w:rsidR="00ED4AAF" w:rsidRDefault="00000000">
            <w:pPr>
              <w:jc w:val="right"/>
            </w:pPr>
            <w:r>
              <w:rPr>
                <w:sz w:val="20"/>
                <w:szCs w:val="20"/>
              </w:rPr>
              <w:t>843</w:t>
            </w:r>
          </w:p>
        </w:tc>
        <w:tc>
          <w:tcPr>
            <w:tcW w:w="2160" w:type="dxa"/>
            <w:tcMar>
              <w:top w:w="60" w:type="dxa"/>
              <w:left w:w="100" w:type="dxa"/>
              <w:bottom w:w="60" w:type="dxa"/>
              <w:right w:w="100" w:type="dxa"/>
            </w:tcMar>
          </w:tcPr>
          <w:p w14:paraId="0621206F" w14:textId="77777777" w:rsidR="00ED4AAF" w:rsidRDefault="00000000">
            <w:r>
              <w:rPr>
                <w:sz w:val="20"/>
                <w:szCs w:val="20"/>
              </w:rPr>
              <w:t>count</w:t>
            </w:r>
          </w:p>
        </w:tc>
      </w:tr>
      <w:tr w:rsidR="00ED4AAF" w14:paraId="36120E29" w14:textId="77777777">
        <w:tblPrEx>
          <w:tblCellMar>
            <w:top w:w="0" w:type="dxa"/>
            <w:bottom w:w="0" w:type="dxa"/>
          </w:tblCellMar>
        </w:tblPrEx>
        <w:tc>
          <w:tcPr>
            <w:tcW w:w="5000" w:type="dxa"/>
            <w:tcMar>
              <w:top w:w="60" w:type="dxa"/>
              <w:left w:w="100" w:type="dxa"/>
              <w:bottom w:w="60" w:type="dxa"/>
              <w:right w:w="100" w:type="dxa"/>
            </w:tcMar>
          </w:tcPr>
          <w:p w14:paraId="76EACA6C" w14:textId="77777777" w:rsidR="00ED4AAF" w:rsidRDefault="00000000">
            <w:r>
              <w:rPr>
                <w:sz w:val="20"/>
                <w:szCs w:val="20"/>
              </w:rPr>
              <w:t>Hazard per protocol-year</w:t>
            </w:r>
          </w:p>
        </w:tc>
        <w:tc>
          <w:tcPr>
            <w:tcW w:w="2200" w:type="dxa"/>
            <w:tcMar>
              <w:top w:w="60" w:type="dxa"/>
              <w:left w:w="100" w:type="dxa"/>
              <w:bottom w:w="60" w:type="dxa"/>
              <w:right w:w="100" w:type="dxa"/>
            </w:tcMar>
          </w:tcPr>
          <w:p w14:paraId="28648A2C" w14:textId="77777777" w:rsidR="00ED4AAF" w:rsidRDefault="00000000">
            <w:pPr>
              <w:jc w:val="right"/>
            </w:pPr>
            <w:r>
              <w:rPr>
                <w:sz w:val="20"/>
                <w:szCs w:val="20"/>
              </w:rPr>
              <w:t>0.019929</w:t>
            </w:r>
          </w:p>
        </w:tc>
        <w:tc>
          <w:tcPr>
            <w:tcW w:w="2160" w:type="dxa"/>
            <w:tcMar>
              <w:top w:w="60" w:type="dxa"/>
              <w:left w:w="100" w:type="dxa"/>
              <w:bottom w:w="60" w:type="dxa"/>
              <w:right w:w="100" w:type="dxa"/>
            </w:tcMar>
          </w:tcPr>
          <w:p w14:paraId="3415740E" w14:textId="77777777" w:rsidR="00ED4AAF" w:rsidRDefault="00000000">
            <w:r>
              <w:rPr>
                <w:sz w:val="20"/>
                <w:szCs w:val="20"/>
              </w:rPr>
              <w:t>MLE (Poisson)</w:t>
            </w:r>
          </w:p>
        </w:tc>
      </w:tr>
      <w:tr w:rsidR="00ED4AAF" w14:paraId="10EFF317" w14:textId="77777777">
        <w:tblPrEx>
          <w:tblCellMar>
            <w:top w:w="0" w:type="dxa"/>
            <w:bottom w:w="0" w:type="dxa"/>
          </w:tblCellMar>
        </w:tblPrEx>
        <w:tc>
          <w:tcPr>
            <w:tcW w:w="5000" w:type="dxa"/>
            <w:tcMar>
              <w:top w:w="60" w:type="dxa"/>
              <w:left w:w="100" w:type="dxa"/>
              <w:bottom w:w="60" w:type="dxa"/>
              <w:right w:w="100" w:type="dxa"/>
            </w:tcMar>
          </w:tcPr>
          <w:p w14:paraId="6DB602E6" w14:textId="77777777" w:rsidR="00ED4AAF" w:rsidRDefault="00000000">
            <w:r>
              <w:rPr>
                <w:sz w:val="20"/>
                <w:szCs w:val="20"/>
              </w:rPr>
              <w:t>Severity threshold u (70th percentile)</w:t>
            </w:r>
          </w:p>
        </w:tc>
        <w:tc>
          <w:tcPr>
            <w:tcW w:w="2200" w:type="dxa"/>
            <w:tcMar>
              <w:top w:w="60" w:type="dxa"/>
              <w:left w:w="100" w:type="dxa"/>
              <w:bottom w:w="60" w:type="dxa"/>
              <w:right w:w="100" w:type="dxa"/>
            </w:tcMar>
          </w:tcPr>
          <w:p w14:paraId="7A9A20BF" w14:textId="77777777" w:rsidR="00ED4AAF" w:rsidRDefault="00000000">
            <w:pPr>
              <w:jc w:val="right"/>
            </w:pPr>
            <w:r>
              <w:rPr>
                <w:sz w:val="20"/>
                <w:szCs w:val="20"/>
              </w:rPr>
              <w:t>0.877</w:t>
            </w:r>
          </w:p>
        </w:tc>
        <w:tc>
          <w:tcPr>
            <w:tcW w:w="2160" w:type="dxa"/>
            <w:tcMar>
              <w:top w:w="60" w:type="dxa"/>
              <w:left w:w="100" w:type="dxa"/>
              <w:bottom w:w="60" w:type="dxa"/>
              <w:right w:w="100" w:type="dxa"/>
            </w:tcMar>
          </w:tcPr>
          <w:p w14:paraId="05E72E82" w14:textId="77777777" w:rsidR="00ED4AAF" w:rsidRDefault="00000000">
            <w:r>
              <w:rPr>
                <w:sz w:val="20"/>
                <w:szCs w:val="20"/>
              </w:rPr>
              <w:t>empirical</w:t>
            </w:r>
          </w:p>
        </w:tc>
      </w:tr>
      <w:tr w:rsidR="00ED4AAF" w14:paraId="4253F880" w14:textId="77777777">
        <w:tblPrEx>
          <w:tblCellMar>
            <w:top w:w="0" w:type="dxa"/>
            <w:bottom w:w="0" w:type="dxa"/>
          </w:tblCellMar>
        </w:tblPrEx>
        <w:tc>
          <w:tcPr>
            <w:tcW w:w="5000" w:type="dxa"/>
            <w:tcMar>
              <w:top w:w="60" w:type="dxa"/>
              <w:left w:w="100" w:type="dxa"/>
              <w:bottom w:w="60" w:type="dxa"/>
              <w:right w:w="100" w:type="dxa"/>
            </w:tcMar>
          </w:tcPr>
          <w:p w14:paraId="604D863B" w14:textId="77777777" w:rsidR="00ED4AAF" w:rsidRDefault="00000000">
            <w:r>
              <w:rPr>
                <w:sz w:val="20"/>
                <w:szCs w:val="20"/>
              </w:rPr>
              <w:t>Exceedances above u</w:t>
            </w:r>
          </w:p>
        </w:tc>
        <w:tc>
          <w:tcPr>
            <w:tcW w:w="2200" w:type="dxa"/>
            <w:tcMar>
              <w:top w:w="60" w:type="dxa"/>
              <w:left w:w="100" w:type="dxa"/>
              <w:bottom w:w="60" w:type="dxa"/>
              <w:right w:w="100" w:type="dxa"/>
            </w:tcMar>
          </w:tcPr>
          <w:p w14:paraId="19236D36" w14:textId="77777777" w:rsidR="00ED4AAF" w:rsidRDefault="00000000">
            <w:pPr>
              <w:jc w:val="right"/>
            </w:pPr>
            <w:r>
              <w:rPr>
                <w:sz w:val="20"/>
                <w:szCs w:val="20"/>
              </w:rPr>
              <w:t>25</w:t>
            </w:r>
          </w:p>
        </w:tc>
        <w:tc>
          <w:tcPr>
            <w:tcW w:w="2160" w:type="dxa"/>
            <w:tcMar>
              <w:top w:w="60" w:type="dxa"/>
              <w:left w:w="100" w:type="dxa"/>
              <w:bottom w:w="60" w:type="dxa"/>
              <w:right w:w="100" w:type="dxa"/>
            </w:tcMar>
          </w:tcPr>
          <w:p w14:paraId="7F217A0B" w14:textId="77777777" w:rsidR="00ED4AAF" w:rsidRDefault="00000000">
            <w:r>
              <w:rPr>
                <w:sz w:val="20"/>
                <w:szCs w:val="20"/>
              </w:rPr>
              <w:t>count</w:t>
            </w:r>
          </w:p>
        </w:tc>
      </w:tr>
      <w:tr w:rsidR="00ED4AAF" w14:paraId="156E2304" w14:textId="77777777">
        <w:tblPrEx>
          <w:tblCellMar>
            <w:top w:w="0" w:type="dxa"/>
            <w:bottom w:w="0" w:type="dxa"/>
          </w:tblCellMar>
        </w:tblPrEx>
        <w:tc>
          <w:tcPr>
            <w:tcW w:w="5000" w:type="dxa"/>
            <w:tcMar>
              <w:top w:w="60" w:type="dxa"/>
              <w:left w:w="100" w:type="dxa"/>
              <w:bottom w:w="60" w:type="dxa"/>
              <w:right w:w="100" w:type="dxa"/>
            </w:tcMar>
          </w:tcPr>
          <w:p w14:paraId="2A710DC2" w14:textId="77777777" w:rsidR="00ED4AAF" w:rsidRDefault="00000000">
            <w:r>
              <w:rPr>
                <w:sz w:val="20"/>
                <w:szCs w:val="20"/>
              </w:rPr>
              <w:t>GPD tail shape ξ</w:t>
            </w:r>
          </w:p>
        </w:tc>
        <w:tc>
          <w:tcPr>
            <w:tcW w:w="2200" w:type="dxa"/>
            <w:tcMar>
              <w:top w:w="60" w:type="dxa"/>
              <w:left w:w="100" w:type="dxa"/>
              <w:bottom w:w="60" w:type="dxa"/>
              <w:right w:w="100" w:type="dxa"/>
            </w:tcMar>
          </w:tcPr>
          <w:p w14:paraId="4E299B59" w14:textId="77777777" w:rsidR="00ED4AAF" w:rsidRDefault="00000000">
            <w:pPr>
              <w:jc w:val="right"/>
            </w:pPr>
            <w:r>
              <w:rPr>
                <w:sz w:val="20"/>
                <w:szCs w:val="20"/>
              </w:rPr>
              <w:t>-1.594</w:t>
            </w:r>
          </w:p>
        </w:tc>
        <w:tc>
          <w:tcPr>
            <w:tcW w:w="2160" w:type="dxa"/>
            <w:tcMar>
              <w:top w:w="60" w:type="dxa"/>
              <w:left w:w="100" w:type="dxa"/>
              <w:bottom w:w="60" w:type="dxa"/>
              <w:right w:w="100" w:type="dxa"/>
            </w:tcMar>
          </w:tcPr>
          <w:p w14:paraId="2D39974D" w14:textId="77777777" w:rsidR="00ED4AAF" w:rsidRDefault="00000000">
            <w:r>
              <w:rPr>
                <w:sz w:val="20"/>
                <w:szCs w:val="20"/>
              </w:rPr>
              <w:t>MLE</w:t>
            </w:r>
          </w:p>
        </w:tc>
      </w:tr>
      <w:tr w:rsidR="00ED4AAF" w14:paraId="2183289D" w14:textId="77777777">
        <w:tblPrEx>
          <w:tblCellMar>
            <w:top w:w="0" w:type="dxa"/>
            <w:bottom w:w="0" w:type="dxa"/>
          </w:tblCellMar>
        </w:tblPrEx>
        <w:tc>
          <w:tcPr>
            <w:tcW w:w="5000" w:type="dxa"/>
            <w:tcMar>
              <w:top w:w="60" w:type="dxa"/>
              <w:left w:w="100" w:type="dxa"/>
              <w:bottom w:w="60" w:type="dxa"/>
              <w:right w:w="100" w:type="dxa"/>
            </w:tcMar>
          </w:tcPr>
          <w:p w14:paraId="3D421337" w14:textId="77777777" w:rsidR="00ED4AAF" w:rsidRDefault="00000000">
            <w:r>
              <w:rPr>
                <w:sz w:val="20"/>
                <w:szCs w:val="20"/>
              </w:rPr>
              <w:lastRenderedPageBreak/>
              <w:t>GPD tail scale β</w:t>
            </w:r>
          </w:p>
        </w:tc>
        <w:tc>
          <w:tcPr>
            <w:tcW w:w="2200" w:type="dxa"/>
            <w:tcMar>
              <w:top w:w="60" w:type="dxa"/>
              <w:left w:w="100" w:type="dxa"/>
              <w:bottom w:w="60" w:type="dxa"/>
              <w:right w:w="100" w:type="dxa"/>
            </w:tcMar>
          </w:tcPr>
          <w:p w14:paraId="2AE7F8C0" w14:textId="77777777" w:rsidR="00ED4AAF" w:rsidRDefault="00000000">
            <w:pPr>
              <w:jc w:val="right"/>
            </w:pPr>
            <w:r>
              <w:rPr>
                <w:sz w:val="20"/>
                <w:szCs w:val="20"/>
              </w:rPr>
              <w:t>0.196</w:t>
            </w:r>
          </w:p>
        </w:tc>
        <w:tc>
          <w:tcPr>
            <w:tcW w:w="2160" w:type="dxa"/>
            <w:tcMar>
              <w:top w:w="60" w:type="dxa"/>
              <w:left w:w="100" w:type="dxa"/>
              <w:bottom w:w="60" w:type="dxa"/>
              <w:right w:w="100" w:type="dxa"/>
            </w:tcMar>
          </w:tcPr>
          <w:p w14:paraId="203EBA70" w14:textId="77777777" w:rsidR="00ED4AAF" w:rsidRDefault="00000000">
            <w:r>
              <w:rPr>
                <w:sz w:val="20"/>
                <w:szCs w:val="20"/>
              </w:rPr>
              <w:t>MLE</w:t>
            </w:r>
          </w:p>
        </w:tc>
      </w:tr>
    </w:tbl>
    <w:p w14:paraId="3FB9E547" w14:textId="77777777" w:rsidR="00ED4AAF" w:rsidRDefault="00000000">
      <w:pPr>
        <w:spacing w:before="80" w:after="240"/>
        <w:jc w:val="both"/>
      </w:pPr>
      <w:r>
        <w:rPr>
          <w:i/>
          <w:iCs/>
          <w:sz w:val="20"/>
          <w:szCs w:val="20"/>
        </w:rPr>
        <w:t xml:space="preserve">Notes: Severity is </w:t>
      </w:r>
      <w:proofErr w:type="gramStart"/>
      <w:r>
        <w:rPr>
          <w:i/>
          <w:iCs/>
          <w:sz w:val="20"/>
          <w:szCs w:val="20"/>
        </w:rPr>
        <w:t>loss</w:t>
      </w:r>
      <w:proofErr w:type="gramEnd"/>
      <w:r>
        <w:rPr>
          <w:i/>
          <w:iCs/>
          <w:sz w:val="20"/>
          <w:szCs w:val="20"/>
        </w:rPr>
        <w:t xml:space="preserve"> over pre-event TVL, capped at 1.0. The negative shape reflects bounded, censored-at-one support; no asymptotic standard errors are reported for the tail parameters because MLE is nonregular for shape below -0.5 (Smith, 1985). Inference on the premium is carried by the simulated compound distribution and the robustness analysis of Section 6.</w:t>
      </w:r>
    </w:p>
    <w:p w14:paraId="599DB141" w14:textId="77777777" w:rsidR="00ED4AAF" w:rsidRDefault="00000000">
      <w:pPr>
        <w:spacing w:after="160" w:line="300" w:lineRule="auto"/>
        <w:jc w:val="both"/>
      </w:pPr>
      <w:r>
        <w:t>The hazard of roughly two percent per protocol-year is modest. The severity law is not. The median curated severity is high, the 70th percentile is 0.877, and the mass at total loss means the conditional question, given that a lending protocol is exploited, how much of it survives, has a grim answer: frequently, very little. This combination, rare arrival and near-total conditional destruction, is what generates the tail-dominated premium.</w:t>
      </w:r>
    </w:p>
    <w:p w14:paraId="11A5EA00" w14:textId="77777777" w:rsidR="00ED4AAF" w:rsidRDefault="00000000">
      <w:pPr>
        <w:pStyle w:val="Heading2"/>
        <w:spacing w:before="260" w:after="160"/>
      </w:pPr>
      <w:r>
        <w:rPr>
          <w:b/>
          <w:bCs/>
          <w:i/>
          <w:iCs/>
          <w:color w:val="000000"/>
          <w:sz w:val="24"/>
          <w:szCs w:val="24"/>
        </w:rPr>
        <w:t>5.2 The compound distribution and the premium</w:t>
      </w:r>
    </w:p>
    <w:p w14:paraId="250EBE3F" w14:textId="77777777" w:rsidR="00ED4AAF" w:rsidRDefault="00000000">
      <w:pPr>
        <w:spacing w:after="100" w:line="300" w:lineRule="auto"/>
      </w:pPr>
      <w:r>
        <w:rPr>
          <w:b/>
          <w:bCs/>
        </w:rPr>
        <w:t xml:space="preserve">Table 3. </w:t>
      </w:r>
      <w:r>
        <w:t xml:space="preserve">Compound annual loss and the </w:t>
      </w:r>
      <w:proofErr w:type="gramStart"/>
      <w:r>
        <w:t>governance-risk</w:t>
      </w:r>
      <w:proofErr w:type="gramEnd"/>
      <w:r>
        <w:t xml:space="preserve"> premium (basis points of TVL)</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200"/>
      </w:tblGrid>
      <w:tr w:rsidR="00ED4AAF" w14:paraId="5AACBEB5" w14:textId="77777777">
        <w:tblPrEx>
          <w:tblCellMar>
            <w:top w:w="0" w:type="dxa"/>
            <w:bottom w:w="0" w:type="dxa"/>
          </w:tblCellMar>
        </w:tblPrEx>
        <w:tc>
          <w:tcPr>
            <w:tcW w:w="5600" w:type="dxa"/>
            <w:shd w:val="clear" w:color="auto" w:fill="EFEFEF"/>
            <w:tcMar>
              <w:top w:w="60" w:type="dxa"/>
              <w:left w:w="100" w:type="dxa"/>
              <w:bottom w:w="60" w:type="dxa"/>
              <w:right w:w="100" w:type="dxa"/>
            </w:tcMar>
          </w:tcPr>
          <w:p w14:paraId="41A52BDC" w14:textId="77777777" w:rsidR="00ED4AAF" w:rsidRDefault="00000000">
            <w:r>
              <w:rPr>
                <w:b/>
                <w:bCs/>
                <w:sz w:val="20"/>
                <w:szCs w:val="20"/>
              </w:rPr>
              <w:t>Quantity</w:t>
            </w:r>
          </w:p>
        </w:tc>
        <w:tc>
          <w:tcPr>
            <w:tcW w:w="2200" w:type="dxa"/>
            <w:shd w:val="clear" w:color="auto" w:fill="EFEFEF"/>
            <w:tcMar>
              <w:top w:w="60" w:type="dxa"/>
              <w:left w:w="100" w:type="dxa"/>
              <w:bottom w:w="60" w:type="dxa"/>
              <w:right w:w="100" w:type="dxa"/>
            </w:tcMar>
          </w:tcPr>
          <w:p w14:paraId="789080DE" w14:textId="77777777" w:rsidR="00ED4AAF" w:rsidRDefault="00000000">
            <w:pPr>
              <w:jc w:val="right"/>
            </w:pPr>
            <w:r>
              <w:rPr>
                <w:b/>
                <w:bCs/>
                <w:sz w:val="20"/>
                <w:szCs w:val="20"/>
              </w:rPr>
              <w:t>Value</w:t>
            </w:r>
          </w:p>
        </w:tc>
      </w:tr>
      <w:tr w:rsidR="00ED4AAF" w14:paraId="6CDA1D1F" w14:textId="77777777">
        <w:tblPrEx>
          <w:tblCellMar>
            <w:top w:w="0" w:type="dxa"/>
            <w:bottom w:w="0" w:type="dxa"/>
          </w:tblCellMar>
        </w:tblPrEx>
        <w:tc>
          <w:tcPr>
            <w:tcW w:w="5600" w:type="dxa"/>
            <w:tcMar>
              <w:top w:w="60" w:type="dxa"/>
              <w:left w:w="100" w:type="dxa"/>
              <w:bottom w:w="60" w:type="dxa"/>
              <w:right w:w="100" w:type="dxa"/>
            </w:tcMar>
          </w:tcPr>
          <w:p w14:paraId="301CFB8C" w14:textId="77777777" w:rsidR="00ED4AAF" w:rsidRDefault="00000000">
            <w:r>
              <w:rPr>
                <w:sz w:val="20"/>
                <w:szCs w:val="20"/>
              </w:rPr>
              <w:t>Expected annual loss (EAL)</w:t>
            </w:r>
          </w:p>
        </w:tc>
        <w:tc>
          <w:tcPr>
            <w:tcW w:w="2200" w:type="dxa"/>
            <w:tcMar>
              <w:top w:w="60" w:type="dxa"/>
              <w:left w:w="100" w:type="dxa"/>
              <w:bottom w:w="60" w:type="dxa"/>
              <w:right w:w="100" w:type="dxa"/>
            </w:tcMar>
          </w:tcPr>
          <w:p w14:paraId="62EB02DF" w14:textId="77777777" w:rsidR="00ED4AAF" w:rsidRDefault="00000000">
            <w:pPr>
              <w:jc w:val="right"/>
            </w:pPr>
            <w:r>
              <w:rPr>
                <w:sz w:val="20"/>
                <w:szCs w:val="20"/>
              </w:rPr>
              <w:t>94.4</w:t>
            </w:r>
          </w:p>
        </w:tc>
      </w:tr>
      <w:tr w:rsidR="00ED4AAF" w14:paraId="3FABD784" w14:textId="77777777">
        <w:tblPrEx>
          <w:tblCellMar>
            <w:top w:w="0" w:type="dxa"/>
            <w:bottom w:w="0" w:type="dxa"/>
          </w:tblCellMar>
        </w:tblPrEx>
        <w:tc>
          <w:tcPr>
            <w:tcW w:w="5600" w:type="dxa"/>
            <w:tcMar>
              <w:top w:w="60" w:type="dxa"/>
              <w:left w:w="100" w:type="dxa"/>
              <w:bottom w:w="60" w:type="dxa"/>
              <w:right w:w="100" w:type="dxa"/>
            </w:tcMar>
          </w:tcPr>
          <w:p w14:paraId="069C0EA0" w14:textId="77777777" w:rsidR="00ED4AAF" w:rsidRDefault="00000000">
            <w:r>
              <w:rPr>
                <w:sz w:val="20"/>
                <w:szCs w:val="20"/>
              </w:rPr>
              <w:t>Expected shortfall, 99 percent (ES99)</w:t>
            </w:r>
          </w:p>
        </w:tc>
        <w:tc>
          <w:tcPr>
            <w:tcW w:w="2200" w:type="dxa"/>
            <w:tcMar>
              <w:top w:w="60" w:type="dxa"/>
              <w:left w:w="100" w:type="dxa"/>
              <w:bottom w:w="60" w:type="dxa"/>
              <w:right w:w="100" w:type="dxa"/>
            </w:tcMar>
          </w:tcPr>
          <w:p w14:paraId="2BE9B404" w14:textId="77777777" w:rsidR="00ED4AAF" w:rsidRDefault="00000000">
            <w:pPr>
              <w:jc w:val="right"/>
            </w:pPr>
            <w:r>
              <w:rPr>
                <w:sz w:val="20"/>
                <w:szCs w:val="20"/>
              </w:rPr>
              <w:t>8,235.7</w:t>
            </w:r>
          </w:p>
        </w:tc>
      </w:tr>
      <w:tr w:rsidR="00ED4AAF" w14:paraId="5570F8AC" w14:textId="77777777">
        <w:tblPrEx>
          <w:tblCellMar>
            <w:top w:w="0" w:type="dxa"/>
            <w:bottom w:w="0" w:type="dxa"/>
          </w:tblCellMar>
        </w:tblPrEx>
        <w:tc>
          <w:tcPr>
            <w:tcW w:w="5600" w:type="dxa"/>
            <w:tcMar>
              <w:top w:w="60" w:type="dxa"/>
              <w:left w:w="100" w:type="dxa"/>
              <w:bottom w:w="60" w:type="dxa"/>
              <w:right w:w="100" w:type="dxa"/>
            </w:tcMar>
          </w:tcPr>
          <w:p w14:paraId="3E77C988" w14:textId="77777777" w:rsidR="00ED4AAF" w:rsidRDefault="00000000">
            <w:r>
              <w:rPr>
                <w:sz w:val="20"/>
                <w:szCs w:val="20"/>
              </w:rPr>
              <w:t>Tail loading (0.10 × ES99)</w:t>
            </w:r>
          </w:p>
        </w:tc>
        <w:tc>
          <w:tcPr>
            <w:tcW w:w="2200" w:type="dxa"/>
            <w:tcMar>
              <w:top w:w="60" w:type="dxa"/>
              <w:left w:w="100" w:type="dxa"/>
              <w:bottom w:w="60" w:type="dxa"/>
              <w:right w:w="100" w:type="dxa"/>
            </w:tcMar>
          </w:tcPr>
          <w:p w14:paraId="147B336F" w14:textId="77777777" w:rsidR="00ED4AAF" w:rsidRDefault="00000000">
            <w:pPr>
              <w:jc w:val="right"/>
            </w:pPr>
            <w:r>
              <w:rPr>
                <w:sz w:val="20"/>
                <w:szCs w:val="20"/>
              </w:rPr>
              <w:t>823.6</w:t>
            </w:r>
          </w:p>
        </w:tc>
      </w:tr>
      <w:tr w:rsidR="00ED4AAF" w14:paraId="11BD3F09" w14:textId="77777777">
        <w:tblPrEx>
          <w:tblCellMar>
            <w:top w:w="0" w:type="dxa"/>
            <w:bottom w:w="0" w:type="dxa"/>
          </w:tblCellMar>
        </w:tblPrEx>
        <w:tc>
          <w:tcPr>
            <w:tcW w:w="5600" w:type="dxa"/>
            <w:tcMar>
              <w:top w:w="60" w:type="dxa"/>
              <w:left w:w="100" w:type="dxa"/>
              <w:bottom w:w="60" w:type="dxa"/>
              <w:right w:w="100" w:type="dxa"/>
            </w:tcMar>
          </w:tcPr>
          <w:p w14:paraId="6A00C608" w14:textId="77777777" w:rsidR="00ED4AAF" w:rsidRDefault="00000000">
            <w:r>
              <w:rPr>
                <w:b/>
                <w:bCs/>
                <w:sz w:val="20"/>
                <w:szCs w:val="20"/>
              </w:rPr>
              <w:t>Governance-risk premium</w:t>
            </w:r>
          </w:p>
        </w:tc>
        <w:tc>
          <w:tcPr>
            <w:tcW w:w="2200" w:type="dxa"/>
            <w:tcMar>
              <w:top w:w="60" w:type="dxa"/>
              <w:left w:w="100" w:type="dxa"/>
              <w:bottom w:w="60" w:type="dxa"/>
              <w:right w:w="100" w:type="dxa"/>
            </w:tcMar>
          </w:tcPr>
          <w:p w14:paraId="3ABA2228" w14:textId="77777777" w:rsidR="00ED4AAF" w:rsidRDefault="00000000">
            <w:pPr>
              <w:jc w:val="right"/>
            </w:pPr>
            <w:r>
              <w:rPr>
                <w:b/>
                <w:bCs/>
                <w:sz w:val="20"/>
                <w:szCs w:val="20"/>
              </w:rPr>
              <w:t>918.0</w:t>
            </w:r>
          </w:p>
        </w:tc>
      </w:tr>
    </w:tbl>
    <w:p w14:paraId="24280254" w14:textId="77777777" w:rsidR="00ED4AAF" w:rsidRDefault="00000000">
      <w:pPr>
        <w:spacing w:before="80" w:after="240"/>
        <w:jc w:val="both"/>
      </w:pPr>
      <w:r>
        <w:rPr>
          <w:i/>
          <w:iCs/>
          <w:sz w:val="20"/>
          <w:szCs w:val="20"/>
        </w:rPr>
        <w:t xml:space="preserve">Notes: Simulation over 200,000 protocol-years, seed 12345, </w:t>
      </w:r>
      <w:proofErr w:type="spellStart"/>
      <w:r>
        <w:rPr>
          <w:i/>
          <w:iCs/>
          <w:sz w:val="20"/>
          <w:szCs w:val="20"/>
        </w:rPr>
        <w:t>numpy</w:t>
      </w:r>
      <w:proofErr w:type="spellEnd"/>
      <w:r>
        <w:rPr>
          <w:i/>
          <w:iCs/>
          <w:sz w:val="20"/>
          <w:szCs w:val="20"/>
        </w:rPr>
        <w:t xml:space="preserve"> default generator. The tail loading weight of 0.10 is an assumed cost of tail capital, not an estimate. ES99 is the </w:t>
      </w:r>
      <w:proofErr w:type="gramStart"/>
      <w:r>
        <w:rPr>
          <w:i/>
          <w:iCs/>
          <w:sz w:val="20"/>
          <w:szCs w:val="20"/>
        </w:rPr>
        <w:t>mean</w:t>
      </w:r>
      <w:proofErr w:type="gramEnd"/>
      <w:r>
        <w:rPr>
          <w:i/>
          <w:iCs/>
          <w:sz w:val="20"/>
          <w:szCs w:val="20"/>
        </w:rPr>
        <w:t xml:space="preserve"> of the worst one percent of simulated annual losses.</w:t>
      </w:r>
    </w:p>
    <w:p w14:paraId="2DEE23FD" w14:textId="77777777" w:rsidR="00ED4AAF" w:rsidRDefault="00000000">
      <w:pPr>
        <w:spacing w:after="160" w:line="300" w:lineRule="auto"/>
        <w:jc w:val="both"/>
      </w:pPr>
      <w:r>
        <w:t xml:space="preserve">The decomposition is the finding. Expected loss is 94 basis points, </w:t>
      </w:r>
      <w:proofErr w:type="gramStart"/>
      <w:r>
        <w:t>in the neighborhood of</w:t>
      </w:r>
      <w:proofErr w:type="gramEnd"/>
      <w:r>
        <w:t xml:space="preserve"> a well-provisioned emerging-market loan book. The premium is 918 basis points, and 90 percent of it is tail loading. The one-in-a-hundred protocol-year loses, on average, 82 percent of TVL, because at a two percent hazard the bad annual outcomes are simply the years in which the protocol is hit at all, and conditional severity is close to total. DeFi's governance-risk cost is not an elevated version of credit risk. It is a different object: a catastrophe exposure, cheap in expectation, ruinous in realization, for which the </w:t>
      </w:r>
      <w:proofErr w:type="gramStart"/>
      <w:r>
        <w:t>expected-loss</w:t>
      </w:r>
      <w:proofErr w:type="gramEnd"/>
      <w:r>
        <w:t xml:space="preserve"> lens is close to useless.</w:t>
      </w:r>
    </w:p>
    <w:p w14:paraId="23E761BA" w14:textId="77777777" w:rsidR="00ED4AAF" w:rsidRDefault="00000000">
      <w:pPr>
        <w:pStyle w:val="Heading2"/>
        <w:spacing w:before="260" w:after="160"/>
      </w:pPr>
      <w:r>
        <w:rPr>
          <w:b/>
          <w:bCs/>
          <w:i/>
          <w:iCs/>
          <w:color w:val="000000"/>
          <w:sz w:val="24"/>
          <w:szCs w:val="24"/>
        </w:rPr>
        <w:t>5.3 The cooperative loading</w:t>
      </w:r>
    </w:p>
    <w:p w14:paraId="7E9CD49D" w14:textId="77777777" w:rsidR="00ED4AAF" w:rsidRDefault="00000000">
      <w:pPr>
        <w:spacing w:after="100" w:line="300" w:lineRule="auto"/>
      </w:pPr>
      <w:r>
        <w:rPr>
          <w:b/>
          <w:bCs/>
        </w:rPr>
        <w:t xml:space="preserve">Table 4. </w:t>
      </w:r>
      <w:r>
        <w:t xml:space="preserve">SICOOB </w:t>
      </w:r>
      <w:proofErr w:type="spellStart"/>
      <w:r>
        <w:t>Mantiqueira</w:t>
      </w:r>
      <w:proofErr w:type="spellEnd"/>
      <w:r>
        <w:t xml:space="preserve"> credit-risk loading, year-end 2015-2024 (basis points of the classified loan book)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ED4AAF" w14:paraId="72FBBA35" w14:textId="77777777">
        <w:tblPrEx>
          <w:tblCellMar>
            <w:top w:w="0" w:type="dxa"/>
            <w:bottom w:w="0" w:type="dxa"/>
          </w:tblCellMar>
        </w:tblPrEx>
        <w:tc>
          <w:tcPr>
            <w:tcW w:w="1800" w:type="dxa"/>
            <w:shd w:val="clear" w:color="auto" w:fill="EFEFEF"/>
            <w:tcMar>
              <w:top w:w="60" w:type="dxa"/>
              <w:left w:w="100" w:type="dxa"/>
              <w:bottom w:w="60" w:type="dxa"/>
              <w:right w:w="100" w:type="dxa"/>
            </w:tcMar>
          </w:tcPr>
          <w:p w14:paraId="61958624" w14:textId="77777777" w:rsidR="00ED4AAF" w:rsidRDefault="00000000">
            <w:pPr>
              <w:jc w:val="right"/>
            </w:pPr>
            <w:r>
              <w:rPr>
                <w:b/>
                <w:bCs/>
                <w:sz w:val="20"/>
                <w:szCs w:val="20"/>
              </w:rPr>
              <w:t>2015</w:t>
            </w:r>
          </w:p>
        </w:tc>
        <w:tc>
          <w:tcPr>
            <w:tcW w:w="1800" w:type="dxa"/>
            <w:shd w:val="clear" w:color="auto" w:fill="EFEFEF"/>
            <w:tcMar>
              <w:top w:w="60" w:type="dxa"/>
              <w:left w:w="100" w:type="dxa"/>
              <w:bottom w:w="60" w:type="dxa"/>
              <w:right w:w="100" w:type="dxa"/>
            </w:tcMar>
          </w:tcPr>
          <w:p w14:paraId="4047FDB4" w14:textId="77777777" w:rsidR="00ED4AAF" w:rsidRDefault="00000000">
            <w:pPr>
              <w:jc w:val="right"/>
            </w:pPr>
            <w:r>
              <w:rPr>
                <w:b/>
                <w:bCs/>
                <w:sz w:val="20"/>
                <w:szCs w:val="20"/>
              </w:rPr>
              <w:t>2016</w:t>
            </w:r>
          </w:p>
        </w:tc>
        <w:tc>
          <w:tcPr>
            <w:tcW w:w="1800" w:type="dxa"/>
            <w:shd w:val="clear" w:color="auto" w:fill="EFEFEF"/>
            <w:tcMar>
              <w:top w:w="60" w:type="dxa"/>
              <w:left w:w="100" w:type="dxa"/>
              <w:bottom w:w="60" w:type="dxa"/>
              <w:right w:w="100" w:type="dxa"/>
            </w:tcMar>
          </w:tcPr>
          <w:p w14:paraId="24DCA813" w14:textId="77777777" w:rsidR="00ED4AAF" w:rsidRDefault="00000000">
            <w:pPr>
              <w:jc w:val="right"/>
            </w:pPr>
            <w:r>
              <w:rPr>
                <w:b/>
                <w:bCs/>
                <w:sz w:val="20"/>
                <w:szCs w:val="20"/>
              </w:rPr>
              <w:t>2017</w:t>
            </w:r>
          </w:p>
        </w:tc>
        <w:tc>
          <w:tcPr>
            <w:tcW w:w="1800" w:type="dxa"/>
            <w:shd w:val="clear" w:color="auto" w:fill="EFEFEF"/>
            <w:tcMar>
              <w:top w:w="60" w:type="dxa"/>
              <w:left w:w="100" w:type="dxa"/>
              <w:bottom w:w="60" w:type="dxa"/>
              <w:right w:w="100" w:type="dxa"/>
            </w:tcMar>
          </w:tcPr>
          <w:p w14:paraId="4028B7E5" w14:textId="77777777" w:rsidR="00ED4AAF" w:rsidRDefault="00000000">
            <w:pPr>
              <w:jc w:val="right"/>
            </w:pPr>
            <w:r>
              <w:rPr>
                <w:b/>
                <w:bCs/>
                <w:sz w:val="20"/>
                <w:szCs w:val="20"/>
              </w:rPr>
              <w:t>2018</w:t>
            </w:r>
          </w:p>
        </w:tc>
        <w:tc>
          <w:tcPr>
            <w:tcW w:w="1800" w:type="dxa"/>
            <w:shd w:val="clear" w:color="auto" w:fill="EFEFEF"/>
            <w:tcMar>
              <w:top w:w="60" w:type="dxa"/>
              <w:left w:w="100" w:type="dxa"/>
              <w:bottom w:w="60" w:type="dxa"/>
              <w:right w:w="100" w:type="dxa"/>
            </w:tcMar>
          </w:tcPr>
          <w:p w14:paraId="7523A19B" w14:textId="77777777" w:rsidR="00ED4AAF" w:rsidRDefault="00000000">
            <w:pPr>
              <w:jc w:val="right"/>
            </w:pPr>
            <w:r>
              <w:rPr>
                <w:b/>
                <w:bCs/>
                <w:sz w:val="20"/>
                <w:szCs w:val="20"/>
              </w:rPr>
              <w:t>2019</w:t>
            </w:r>
          </w:p>
        </w:tc>
      </w:tr>
      <w:tr w:rsidR="00ED4AAF" w14:paraId="211057A8" w14:textId="77777777">
        <w:tblPrEx>
          <w:tblCellMar>
            <w:top w:w="0" w:type="dxa"/>
            <w:bottom w:w="0" w:type="dxa"/>
          </w:tblCellMar>
        </w:tblPrEx>
        <w:tc>
          <w:tcPr>
            <w:tcW w:w="1800" w:type="dxa"/>
            <w:tcMar>
              <w:top w:w="60" w:type="dxa"/>
              <w:left w:w="100" w:type="dxa"/>
              <w:bottom w:w="60" w:type="dxa"/>
              <w:right w:w="100" w:type="dxa"/>
            </w:tcMar>
          </w:tcPr>
          <w:p w14:paraId="3E2369AE" w14:textId="77777777" w:rsidR="00ED4AAF" w:rsidRDefault="00000000">
            <w:pPr>
              <w:jc w:val="right"/>
            </w:pPr>
            <w:r>
              <w:rPr>
                <w:sz w:val="20"/>
                <w:szCs w:val="20"/>
              </w:rPr>
              <w:t>222</w:t>
            </w:r>
          </w:p>
        </w:tc>
        <w:tc>
          <w:tcPr>
            <w:tcW w:w="1800" w:type="dxa"/>
            <w:tcMar>
              <w:top w:w="60" w:type="dxa"/>
              <w:left w:w="100" w:type="dxa"/>
              <w:bottom w:w="60" w:type="dxa"/>
              <w:right w:w="100" w:type="dxa"/>
            </w:tcMar>
          </w:tcPr>
          <w:p w14:paraId="6F9A1DBC" w14:textId="77777777" w:rsidR="00ED4AAF" w:rsidRDefault="00000000">
            <w:pPr>
              <w:jc w:val="right"/>
            </w:pPr>
            <w:r>
              <w:rPr>
                <w:sz w:val="20"/>
                <w:szCs w:val="20"/>
              </w:rPr>
              <w:t>410</w:t>
            </w:r>
          </w:p>
        </w:tc>
        <w:tc>
          <w:tcPr>
            <w:tcW w:w="1800" w:type="dxa"/>
            <w:tcMar>
              <w:top w:w="60" w:type="dxa"/>
              <w:left w:w="100" w:type="dxa"/>
              <w:bottom w:w="60" w:type="dxa"/>
              <w:right w:w="100" w:type="dxa"/>
            </w:tcMar>
          </w:tcPr>
          <w:p w14:paraId="0673BA39" w14:textId="77777777" w:rsidR="00ED4AAF" w:rsidRDefault="00000000">
            <w:pPr>
              <w:jc w:val="right"/>
            </w:pPr>
            <w:r>
              <w:rPr>
                <w:sz w:val="20"/>
                <w:szCs w:val="20"/>
              </w:rPr>
              <w:t>163</w:t>
            </w:r>
          </w:p>
        </w:tc>
        <w:tc>
          <w:tcPr>
            <w:tcW w:w="1800" w:type="dxa"/>
            <w:tcMar>
              <w:top w:w="60" w:type="dxa"/>
              <w:left w:w="100" w:type="dxa"/>
              <w:bottom w:w="60" w:type="dxa"/>
              <w:right w:w="100" w:type="dxa"/>
            </w:tcMar>
          </w:tcPr>
          <w:p w14:paraId="20BBD92D" w14:textId="77777777" w:rsidR="00ED4AAF" w:rsidRDefault="00000000">
            <w:pPr>
              <w:jc w:val="right"/>
            </w:pPr>
            <w:r>
              <w:rPr>
                <w:sz w:val="20"/>
                <w:szCs w:val="20"/>
              </w:rPr>
              <w:t>340</w:t>
            </w:r>
          </w:p>
        </w:tc>
        <w:tc>
          <w:tcPr>
            <w:tcW w:w="1800" w:type="dxa"/>
            <w:tcMar>
              <w:top w:w="60" w:type="dxa"/>
              <w:left w:w="100" w:type="dxa"/>
              <w:bottom w:w="60" w:type="dxa"/>
              <w:right w:w="100" w:type="dxa"/>
            </w:tcMar>
          </w:tcPr>
          <w:p w14:paraId="61875D3A" w14:textId="77777777" w:rsidR="00ED4AAF" w:rsidRDefault="00000000">
            <w:pPr>
              <w:jc w:val="right"/>
            </w:pPr>
            <w:r>
              <w:rPr>
                <w:sz w:val="20"/>
                <w:szCs w:val="20"/>
              </w:rPr>
              <w:t>150</w:t>
            </w:r>
          </w:p>
        </w:tc>
      </w:tr>
      <w:tr w:rsidR="00ED4AAF" w14:paraId="78B5F197" w14:textId="77777777">
        <w:tblPrEx>
          <w:tblCellMar>
            <w:top w:w="0" w:type="dxa"/>
            <w:bottom w:w="0" w:type="dxa"/>
          </w:tblCellMar>
        </w:tblPrEx>
        <w:tc>
          <w:tcPr>
            <w:tcW w:w="1800" w:type="dxa"/>
            <w:shd w:val="clear" w:color="auto" w:fill="EFEFEF"/>
            <w:tcMar>
              <w:top w:w="60" w:type="dxa"/>
              <w:left w:w="100" w:type="dxa"/>
              <w:bottom w:w="60" w:type="dxa"/>
              <w:right w:w="100" w:type="dxa"/>
            </w:tcMar>
          </w:tcPr>
          <w:p w14:paraId="0AFF9CDB" w14:textId="77777777" w:rsidR="00ED4AAF" w:rsidRDefault="00000000">
            <w:pPr>
              <w:jc w:val="right"/>
            </w:pPr>
            <w:r>
              <w:rPr>
                <w:b/>
                <w:bCs/>
                <w:sz w:val="20"/>
                <w:szCs w:val="20"/>
              </w:rPr>
              <w:t>2020</w:t>
            </w:r>
          </w:p>
        </w:tc>
        <w:tc>
          <w:tcPr>
            <w:tcW w:w="1800" w:type="dxa"/>
            <w:shd w:val="clear" w:color="auto" w:fill="EFEFEF"/>
            <w:tcMar>
              <w:top w:w="60" w:type="dxa"/>
              <w:left w:w="100" w:type="dxa"/>
              <w:bottom w:w="60" w:type="dxa"/>
              <w:right w:w="100" w:type="dxa"/>
            </w:tcMar>
          </w:tcPr>
          <w:p w14:paraId="0B31225A" w14:textId="77777777" w:rsidR="00ED4AAF" w:rsidRDefault="00000000">
            <w:pPr>
              <w:jc w:val="right"/>
            </w:pPr>
            <w:r>
              <w:rPr>
                <w:b/>
                <w:bCs/>
                <w:sz w:val="20"/>
                <w:szCs w:val="20"/>
              </w:rPr>
              <w:t>2021</w:t>
            </w:r>
          </w:p>
        </w:tc>
        <w:tc>
          <w:tcPr>
            <w:tcW w:w="1800" w:type="dxa"/>
            <w:shd w:val="clear" w:color="auto" w:fill="EFEFEF"/>
            <w:tcMar>
              <w:top w:w="60" w:type="dxa"/>
              <w:left w:w="100" w:type="dxa"/>
              <w:bottom w:w="60" w:type="dxa"/>
              <w:right w:w="100" w:type="dxa"/>
            </w:tcMar>
          </w:tcPr>
          <w:p w14:paraId="76FF9149" w14:textId="77777777" w:rsidR="00ED4AAF" w:rsidRDefault="00000000">
            <w:pPr>
              <w:jc w:val="right"/>
            </w:pPr>
            <w:r>
              <w:rPr>
                <w:b/>
                <w:bCs/>
                <w:sz w:val="20"/>
                <w:szCs w:val="20"/>
              </w:rPr>
              <w:t>2022</w:t>
            </w:r>
          </w:p>
        </w:tc>
        <w:tc>
          <w:tcPr>
            <w:tcW w:w="1800" w:type="dxa"/>
            <w:shd w:val="clear" w:color="auto" w:fill="EFEFEF"/>
            <w:tcMar>
              <w:top w:w="60" w:type="dxa"/>
              <w:left w:w="100" w:type="dxa"/>
              <w:bottom w:w="60" w:type="dxa"/>
              <w:right w:w="100" w:type="dxa"/>
            </w:tcMar>
          </w:tcPr>
          <w:p w14:paraId="45759F5F" w14:textId="77777777" w:rsidR="00ED4AAF" w:rsidRDefault="00000000">
            <w:pPr>
              <w:jc w:val="right"/>
            </w:pPr>
            <w:r>
              <w:rPr>
                <w:b/>
                <w:bCs/>
                <w:sz w:val="20"/>
                <w:szCs w:val="20"/>
              </w:rPr>
              <w:t>2023</w:t>
            </w:r>
          </w:p>
        </w:tc>
        <w:tc>
          <w:tcPr>
            <w:tcW w:w="1800" w:type="dxa"/>
            <w:shd w:val="clear" w:color="auto" w:fill="EFEFEF"/>
            <w:tcMar>
              <w:top w:w="60" w:type="dxa"/>
              <w:left w:w="100" w:type="dxa"/>
              <w:bottom w:w="60" w:type="dxa"/>
              <w:right w:w="100" w:type="dxa"/>
            </w:tcMar>
          </w:tcPr>
          <w:p w14:paraId="4C6FD11C" w14:textId="77777777" w:rsidR="00ED4AAF" w:rsidRDefault="00000000">
            <w:pPr>
              <w:jc w:val="right"/>
            </w:pPr>
            <w:r>
              <w:rPr>
                <w:b/>
                <w:bCs/>
                <w:sz w:val="20"/>
                <w:szCs w:val="20"/>
              </w:rPr>
              <w:t>2024</w:t>
            </w:r>
          </w:p>
        </w:tc>
      </w:tr>
      <w:tr w:rsidR="00ED4AAF" w14:paraId="03666190" w14:textId="77777777">
        <w:tblPrEx>
          <w:tblCellMar>
            <w:top w:w="0" w:type="dxa"/>
            <w:bottom w:w="0" w:type="dxa"/>
          </w:tblCellMar>
        </w:tblPrEx>
        <w:tc>
          <w:tcPr>
            <w:tcW w:w="1800" w:type="dxa"/>
            <w:tcMar>
              <w:top w:w="60" w:type="dxa"/>
              <w:left w:w="100" w:type="dxa"/>
              <w:bottom w:w="60" w:type="dxa"/>
              <w:right w:w="100" w:type="dxa"/>
            </w:tcMar>
          </w:tcPr>
          <w:p w14:paraId="77022690" w14:textId="77777777" w:rsidR="00ED4AAF" w:rsidRDefault="00000000">
            <w:pPr>
              <w:jc w:val="right"/>
            </w:pPr>
            <w:r>
              <w:rPr>
                <w:sz w:val="20"/>
                <w:szCs w:val="20"/>
              </w:rPr>
              <w:t>188</w:t>
            </w:r>
          </w:p>
        </w:tc>
        <w:tc>
          <w:tcPr>
            <w:tcW w:w="1800" w:type="dxa"/>
            <w:tcMar>
              <w:top w:w="60" w:type="dxa"/>
              <w:left w:w="100" w:type="dxa"/>
              <w:bottom w:w="60" w:type="dxa"/>
              <w:right w:w="100" w:type="dxa"/>
            </w:tcMar>
          </w:tcPr>
          <w:p w14:paraId="288E5421" w14:textId="77777777" w:rsidR="00ED4AAF" w:rsidRDefault="00000000">
            <w:pPr>
              <w:jc w:val="right"/>
            </w:pPr>
            <w:r>
              <w:rPr>
                <w:sz w:val="20"/>
                <w:szCs w:val="20"/>
              </w:rPr>
              <w:t>172</w:t>
            </w:r>
          </w:p>
        </w:tc>
        <w:tc>
          <w:tcPr>
            <w:tcW w:w="1800" w:type="dxa"/>
            <w:tcMar>
              <w:top w:w="60" w:type="dxa"/>
              <w:left w:w="100" w:type="dxa"/>
              <w:bottom w:w="60" w:type="dxa"/>
              <w:right w:w="100" w:type="dxa"/>
            </w:tcMar>
          </w:tcPr>
          <w:p w14:paraId="773E4C87" w14:textId="77777777" w:rsidR="00ED4AAF" w:rsidRDefault="00000000">
            <w:pPr>
              <w:jc w:val="right"/>
            </w:pPr>
            <w:r>
              <w:rPr>
                <w:sz w:val="20"/>
                <w:szCs w:val="20"/>
              </w:rPr>
              <w:t>185</w:t>
            </w:r>
          </w:p>
        </w:tc>
        <w:tc>
          <w:tcPr>
            <w:tcW w:w="1800" w:type="dxa"/>
            <w:tcMar>
              <w:top w:w="60" w:type="dxa"/>
              <w:left w:w="100" w:type="dxa"/>
              <w:bottom w:w="60" w:type="dxa"/>
              <w:right w:w="100" w:type="dxa"/>
            </w:tcMar>
          </w:tcPr>
          <w:p w14:paraId="2C0ACF61" w14:textId="77777777" w:rsidR="00ED4AAF" w:rsidRDefault="00000000">
            <w:pPr>
              <w:jc w:val="right"/>
            </w:pPr>
            <w:r>
              <w:rPr>
                <w:sz w:val="20"/>
                <w:szCs w:val="20"/>
              </w:rPr>
              <w:t>209</w:t>
            </w:r>
          </w:p>
        </w:tc>
        <w:tc>
          <w:tcPr>
            <w:tcW w:w="1800" w:type="dxa"/>
            <w:tcMar>
              <w:top w:w="60" w:type="dxa"/>
              <w:left w:w="100" w:type="dxa"/>
              <w:bottom w:w="60" w:type="dxa"/>
              <w:right w:w="100" w:type="dxa"/>
            </w:tcMar>
          </w:tcPr>
          <w:p w14:paraId="35C28B4A" w14:textId="77777777" w:rsidR="00ED4AAF" w:rsidRDefault="00000000">
            <w:pPr>
              <w:jc w:val="right"/>
            </w:pPr>
            <w:r>
              <w:rPr>
                <w:sz w:val="20"/>
                <w:szCs w:val="20"/>
              </w:rPr>
              <w:t>384</w:t>
            </w:r>
          </w:p>
        </w:tc>
      </w:tr>
    </w:tbl>
    <w:p w14:paraId="09B99653" w14:textId="77777777" w:rsidR="00ED4AAF" w:rsidRDefault="00000000">
      <w:pPr>
        <w:spacing w:before="80" w:after="240"/>
        <w:jc w:val="both"/>
      </w:pPr>
      <w:r>
        <w:rPr>
          <w:i/>
          <w:iCs/>
          <w:sz w:val="20"/>
          <w:szCs w:val="20"/>
        </w:rPr>
        <w:t xml:space="preserve">Notes: Absolute annual credit-provision expense over the Total Geral classified portfolio, from BCB </w:t>
      </w:r>
      <w:proofErr w:type="spellStart"/>
      <w:r>
        <w:rPr>
          <w:i/>
          <w:iCs/>
          <w:sz w:val="20"/>
          <w:szCs w:val="20"/>
        </w:rPr>
        <w:t>IF.data</w:t>
      </w:r>
      <w:proofErr w:type="spellEnd"/>
      <w:r>
        <w:rPr>
          <w:i/>
          <w:iCs/>
          <w:sz w:val="20"/>
          <w:szCs w:val="20"/>
        </w:rPr>
        <w:t xml:space="preserve"> year-end filings. Ten-year mean: 242.5 bps. The 2016 peak coincides with the trough of the Brazilian recession; the 2024 rise with the post-pandemic household credit cycle.</w:t>
      </w:r>
    </w:p>
    <w:p w14:paraId="2FC8ACCB" w14:textId="77777777" w:rsidR="00ED4AAF" w:rsidRDefault="00000000">
      <w:pPr>
        <w:spacing w:after="160" w:line="300" w:lineRule="auto"/>
        <w:jc w:val="both"/>
      </w:pPr>
      <w:r>
        <w:lastRenderedPageBreak/>
        <w:t xml:space="preserve">The </w:t>
      </w:r>
      <w:proofErr w:type="gramStart"/>
      <w:r>
        <w:t>cooperative's</w:t>
      </w:r>
      <w:proofErr w:type="gramEnd"/>
      <w:r>
        <w:t xml:space="preserve"> series behaves exactly as the stability literature predicts. It cycles with the Brazilian macroeconomy, peaking at 410 basis points in the 2016 recession year and rising again to 384 in 2024, but it never departs from its band. The mean is 242.5 basis points, the worst year is 1.7 times the mean, and there is no realization in a decade that resembles a tail event. Provisions absorb the losses continuously; reserves and, behind them, the </w:t>
      </w:r>
      <w:proofErr w:type="spellStart"/>
      <w:r>
        <w:t>FGCoop</w:t>
      </w:r>
      <w:proofErr w:type="spellEnd"/>
      <w:r>
        <w:t xml:space="preserve"> guarantee fund stand as further layers the data never needed to invoke.</w:t>
      </w:r>
    </w:p>
    <w:p w14:paraId="4099BBE4" w14:textId="77777777" w:rsidR="00ED4AAF" w:rsidRDefault="00000000">
      <w:pPr>
        <w:pStyle w:val="Heading2"/>
        <w:spacing w:before="260" w:after="160"/>
      </w:pPr>
      <w:r>
        <w:rPr>
          <w:b/>
          <w:bCs/>
          <w:i/>
          <w:iCs/>
          <w:color w:val="000000"/>
          <w:sz w:val="24"/>
          <w:szCs w:val="24"/>
        </w:rPr>
        <w:t>5.4 The comparison</w:t>
      </w:r>
    </w:p>
    <w:p w14:paraId="64C9F2FE" w14:textId="77777777" w:rsidR="00ED4AAF" w:rsidRDefault="00000000">
      <w:pPr>
        <w:spacing w:after="160" w:line="300" w:lineRule="auto"/>
        <w:jc w:val="both"/>
      </w:pPr>
      <w:r>
        <w:t xml:space="preserve">The headline ratio is 918 over 242.5, or 3.79: a depositor in a generic DeFi lending protocol pays roughly 3.8 times per year, per unit of value at risk, what a cooperative member pays for credit risk. The more instructive comparison, though, is between compositions. Compare like with like and the contrast sharpens in both directions at once. On expected loss alone, DeFi looks cheaper than the cooperative, 94 basis points against 242, and this is precisely the comparison the DeFi yield dashboards implicitly invite. Add the tail and the ordering reverses by a factor approaching four. The cooperative pays a steady toll and holds essentially no catastrophe exposure </w:t>
      </w:r>
      <w:proofErr w:type="gramStart"/>
      <w:r>
        <w:t>on</w:t>
      </w:r>
      <w:proofErr w:type="gramEnd"/>
      <w:r>
        <w:t xml:space="preserve"> its members' claims; the protocol charges a low toll and carries a large, latent, catastrophic one. Whether 918 basis points is fully reflected in DeFi supply yields, and thus whether depositors are being compensated for the risk they bear, is a question the premium now makes answerable; on recent </w:t>
      </w:r>
      <w:proofErr w:type="spellStart"/>
      <w:r>
        <w:t>Aave</w:t>
      </w:r>
      <w:proofErr w:type="spellEnd"/>
      <w:r>
        <w:t xml:space="preserve"> stablecoin supply rates in the </w:t>
      </w:r>
      <w:proofErr w:type="spellStart"/>
      <w:r>
        <w:t>mid single</w:t>
      </w:r>
      <w:proofErr w:type="spellEnd"/>
      <w:r>
        <w:t xml:space="preserve"> digits, the arithmetic is uncomfortable, and I flag it as the natural next exercise rather than settling it here.</w:t>
      </w:r>
    </w:p>
    <w:p w14:paraId="327BD9F5" w14:textId="77777777" w:rsidR="00ED4AAF" w:rsidRDefault="00000000">
      <w:pPr>
        <w:pStyle w:val="Heading1"/>
        <w:spacing w:before="320" w:after="200"/>
      </w:pPr>
      <w:r>
        <w:rPr>
          <w:b/>
          <w:bCs/>
          <w:color w:val="000000"/>
          <w:sz w:val="26"/>
          <w:szCs w:val="26"/>
        </w:rPr>
        <w:t>6. Robustness, Validation, and Reproducibility</w:t>
      </w:r>
    </w:p>
    <w:p w14:paraId="5465641E" w14:textId="77777777" w:rsidR="00ED4AAF" w:rsidRDefault="00000000">
      <w:pPr>
        <w:pStyle w:val="Heading2"/>
        <w:spacing w:before="260" w:after="160"/>
      </w:pPr>
      <w:r>
        <w:rPr>
          <w:b/>
          <w:bCs/>
          <w:i/>
          <w:iCs/>
          <w:color w:val="000000"/>
          <w:sz w:val="24"/>
          <w:szCs w:val="24"/>
        </w:rPr>
        <w:t>6.1 Detection bias</w:t>
      </w:r>
    </w:p>
    <w:p w14:paraId="50BEC41D" w14:textId="77777777" w:rsidR="00ED4AAF" w:rsidRDefault="00000000">
      <w:pPr>
        <w:spacing w:after="160" w:line="300" w:lineRule="auto"/>
        <w:jc w:val="both"/>
      </w:pPr>
      <w:r>
        <w:t>The event catalogue records detected, reported</w:t>
      </w:r>
      <w:proofErr w:type="gramStart"/>
      <w:r>
        <w:t>, attributed</w:t>
      </w:r>
      <w:proofErr w:type="gramEnd"/>
      <w:r>
        <w:t xml:space="preserve"> exploits. Undetected or unreported losses, quiet governance extraction in particular, are invisible to it, so the estimated hazard is a lower bound. Rather than ignore this, the design stresses it: recomputing under assumed unobserved-event rates of 10 and 25 percent scales the hazard by 1.11 and 1.33 respectively, and because the compound distribution at a two percent hazard is dominated by zero-and-one-event years, both EAL and ES99 scale close to linearly in the hazard. The premium band is therefore approximately 918 to 1,220 basis points, a first-order scaling calculation labeled as such, and the reported point of 918 should be read as the floor of that band. No detection assumption within reason brings the DeFi premium anywhere near the cooperative loading.</w:t>
      </w:r>
    </w:p>
    <w:p w14:paraId="417677FC" w14:textId="77777777" w:rsidR="00ED4AAF" w:rsidRDefault="00000000">
      <w:pPr>
        <w:pStyle w:val="Heading2"/>
        <w:spacing w:before="260" w:after="160"/>
      </w:pPr>
      <w:r>
        <w:rPr>
          <w:b/>
          <w:bCs/>
          <w:i/>
          <w:iCs/>
          <w:color w:val="000000"/>
          <w:sz w:val="24"/>
          <w:szCs w:val="24"/>
        </w:rPr>
        <w:t>6.2 Threshold and influential events</w:t>
      </w:r>
    </w:p>
    <w:p w14:paraId="78E5C427" w14:textId="77777777" w:rsidR="00ED4AAF" w:rsidRDefault="00000000">
      <w:pPr>
        <w:spacing w:after="160" w:line="300" w:lineRule="auto"/>
        <w:jc w:val="both"/>
      </w:pPr>
      <w:r>
        <w:t>The peaks-over-threshold choice is swept across the 60th to 80th percentile range; the premium moves within the Monte Carlo noise band because the empirical body absorbs what the tail releases as the threshold shifts, a mechanical consequence of the spliced construction with severity capped at one. Leave-one-out on the five largest events moves the tail parameters visibly, as it must with 25 exceedances, but moves the premium modestly, because the near-</w:t>
      </w:r>
      <w:r>
        <w:lastRenderedPageBreak/>
        <w:t>total-loss cluster is a feature of the data as a class rather than of any single event. A Kupiec-style coverage back-check confirms the fitted tail is not rejected against the realized exceedance count.</w:t>
      </w:r>
    </w:p>
    <w:p w14:paraId="21A3028F" w14:textId="77777777" w:rsidR="00ED4AAF" w:rsidRDefault="00000000">
      <w:pPr>
        <w:pStyle w:val="Heading2"/>
        <w:spacing w:before="260" w:after="160"/>
      </w:pPr>
      <w:r>
        <w:rPr>
          <w:b/>
          <w:bCs/>
          <w:i/>
          <w:iCs/>
          <w:color w:val="000000"/>
          <w:sz w:val="24"/>
          <w:szCs w:val="24"/>
        </w:rPr>
        <w:t>6.3 Verification discipline</w:t>
      </w:r>
    </w:p>
    <w:p w14:paraId="05A5DB21" w14:textId="77777777" w:rsidR="00ED4AAF" w:rsidRDefault="00000000">
      <w:pPr>
        <w:spacing w:after="160" w:line="300" w:lineRule="auto"/>
        <w:jc w:val="both"/>
      </w:pPr>
      <w:r>
        <w:t xml:space="preserve">Every number in Tables 2 through 4 is recomputed by an independent verifier script from the frozen raw files. The verifier checks the curated event count exactly, the hazard to one part in a million, the cooperative loadings to within one basis point, the tail parameters and simulated quantities within tolerances set from Monte Carlo standard error, and two identities, that the premium equals EAL plus one tenth of ES99 and that the reported ratio equals the reported quotient. It then reruns the full pipeline twice to confirm bit-identical reproduction under the recorded </w:t>
      </w:r>
      <w:proofErr w:type="gramStart"/>
      <w:r>
        <w:t>seed, and</w:t>
      </w:r>
      <w:proofErr w:type="gramEnd"/>
      <w:r>
        <w:t xml:space="preserve"> reruns it on a perturbed copy of the event file to confirm the estimates track the data rather than hard-coded constants. This is the same verification architecture built for the climate-risk benchmark work that precedes this chapter, and the argument for it is the same: a result an independent script can recompute from frozen inputs is a result an examiner can trust without trusting the author.</w:t>
      </w:r>
    </w:p>
    <w:p w14:paraId="46D436C9" w14:textId="77777777" w:rsidR="00ED4AAF" w:rsidRDefault="00000000">
      <w:pPr>
        <w:pStyle w:val="Heading1"/>
        <w:spacing w:before="320" w:after="200"/>
      </w:pPr>
      <w:r>
        <w:rPr>
          <w:b/>
          <w:bCs/>
          <w:color w:val="000000"/>
          <w:sz w:val="26"/>
          <w:szCs w:val="26"/>
        </w:rPr>
        <w:t>7. Discussion</w:t>
      </w:r>
    </w:p>
    <w:p w14:paraId="5646A6E4" w14:textId="77777777" w:rsidR="00ED4AAF" w:rsidRDefault="00000000">
      <w:pPr>
        <w:spacing w:after="160" w:line="300" w:lineRule="auto"/>
        <w:jc w:val="both"/>
      </w:pPr>
      <w:r>
        <w:t xml:space="preserve">The economic reading of the two numbers is a statement about institutional design. The cooperative interposes layered loss absorption between shocks and members: provisions first, then reserves, then a system guarantee fund, and the ten-year record shows the first layer doing all the work. The lending protocol interposes almost nothing between an exploit and its depositors; safety modules and treasuries exist, but the severity data, with a quarter of events at or near total loss, </w:t>
      </w:r>
      <w:proofErr w:type="gramStart"/>
      <w:r>
        <w:t>show</w:t>
      </w:r>
      <w:proofErr w:type="gramEnd"/>
      <w:r>
        <w:t xml:space="preserve"> that in practice the depositor's claim is the loss-absorbing layer. The premium gap of 676 basis points is the annual price of that architectural difference, and its tail-heavy composition explains a familiar behavioral puzzle: DeFi deposit yields look attractive year after year precisely because the cost that offsets them arrives in almost no year at all.</w:t>
      </w:r>
    </w:p>
    <w:p w14:paraId="6F7D6BEA" w14:textId="77777777" w:rsidR="00ED4AAF" w:rsidRDefault="00000000">
      <w:pPr>
        <w:spacing w:after="160" w:line="300" w:lineRule="auto"/>
        <w:jc w:val="both"/>
      </w:pPr>
      <w:r>
        <w:t xml:space="preserve">Events after the sample window illustrate rather than test the model, and one deserves mention. In April 2026 the </w:t>
      </w:r>
      <w:proofErr w:type="spellStart"/>
      <w:r>
        <w:t>KelpDAO</w:t>
      </w:r>
      <w:proofErr w:type="spellEnd"/>
      <w:r>
        <w:t xml:space="preserve"> exploit allowed attackers to mint collateral tokens against nothing and borrow roughly 290 million dollars of real assets from major lending platforms, triggering mass withdrawals from </w:t>
      </w:r>
      <w:proofErr w:type="spellStart"/>
      <w:r>
        <w:t>Aave</w:t>
      </w:r>
      <w:proofErr w:type="spellEnd"/>
      <w:r>
        <w:t xml:space="preserve"> itself. The episode postdates the estimation window and plays no role in any number above, but it is exactly the event class the tail loading prices: a governance-and-oracle failure at one protocol propagating through composability into depositor losses at others. That the sector absorbed it is evidence </w:t>
      </w:r>
      <w:proofErr w:type="gramStart"/>
      <w:r>
        <w:t>for</w:t>
      </w:r>
      <w:proofErr w:type="gramEnd"/>
      <w:r>
        <w:t xml:space="preserve"> resilience; that it happened at all, within months of the sample's close, is evidence that the hazard has not gone to zero as the sector matures.</w:t>
      </w:r>
    </w:p>
    <w:p w14:paraId="39A1F036" w14:textId="77777777" w:rsidR="00ED4AAF" w:rsidRDefault="00000000">
      <w:pPr>
        <w:spacing w:after="160" w:line="300" w:lineRule="auto"/>
        <w:jc w:val="both"/>
      </w:pPr>
      <w:r>
        <w:t xml:space="preserve">Three limitations bound the claims. The exposure convention counts protocols, not dollars, so the premium prices the generic protocol rather than the TVL-weighted sector; a dollar-weighted version would tilt toward large, heavily audited protocols and produce a lower </w:t>
      </w:r>
      <w:r>
        <w:lastRenderedPageBreak/>
        <w:t>number, and constructing it is straightforward future work. The cooperative comparator is one institution, chosen for depth of documentation rather than representativeness, and the loading should be read as a well-measured case, not a Brazilian average, though its band sits comfortably inside the range the cooperative literature reports. And the comparison prices two different loss channels, exploit risk against credit risk, because each is the channel intrinsic to its form; a full accounting would add credit risk on the DeFi side, which its overcollateralization largely but not entirely suppresses, and operational risk on the cooperative side, which the provision line does not capture. Both additions would widen, not narrow, the measured gap on the evidence available, but that is a conjecture the data here cannot settle, and I present it as one.</w:t>
      </w:r>
    </w:p>
    <w:p w14:paraId="1489195E" w14:textId="77777777" w:rsidR="00ED4AAF" w:rsidRDefault="00000000">
      <w:pPr>
        <w:pStyle w:val="Heading1"/>
        <w:spacing w:before="320" w:after="200"/>
      </w:pPr>
      <w:r>
        <w:rPr>
          <w:b/>
          <w:bCs/>
          <w:color w:val="000000"/>
          <w:sz w:val="26"/>
          <w:szCs w:val="26"/>
        </w:rPr>
        <w:t>8. Conclusion</w:t>
      </w:r>
    </w:p>
    <w:p w14:paraId="6A9EE524" w14:textId="77777777" w:rsidR="00ED4AAF" w:rsidRDefault="00000000">
      <w:pPr>
        <w:spacing w:after="160" w:line="300" w:lineRule="auto"/>
        <w:jc w:val="both"/>
      </w:pPr>
      <w:r>
        <w:t xml:space="preserve">This paper prices trust in two institutional forms with one actuarial ruler. A depositor in a generic DeFi lending protocol implicitly pays about 918 basis points of TVL per year for governance and exploit risk, nine tenths of </w:t>
      </w:r>
      <w:proofErr w:type="gramStart"/>
      <w:r>
        <w:t>it</w:t>
      </w:r>
      <w:proofErr w:type="gramEnd"/>
      <w:r>
        <w:t xml:space="preserve"> compensation for rare catastrophe, under an assumed ten percent charge on tail capital and a detection-bias band reaching 1,220 basis points. A member of a well-run Brazilian credit cooperative pays about 242 basis points of the loan book per year for credit risk, almost all of it expected loss, funded continuously and absorbed quietly through a decade that included a deep recession and a pandemic. The ratio is 3.8; the deeper result is the difference in kind. The decentralized form converts institutional trust into tail risk and posts it, unpriced, to its depositors' account. The mutual form converts it into a toll and collects it every year. Between those two designs lies most of what the remaining chapters of this thesis are about.</w:t>
      </w:r>
    </w:p>
    <w:p w14:paraId="6CC9868B" w14:textId="77777777" w:rsidR="00ED4AAF" w:rsidRDefault="00000000">
      <w:pPr>
        <w:pStyle w:val="Heading1"/>
        <w:spacing w:before="320" w:after="200"/>
      </w:pPr>
      <w:r>
        <w:rPr>
          <w:b/>
          <w:bCs/>
          <w:color w:val="000000"/>
          <w:sz w:val="26"/>
          <w:szCs w:val="26"/>
        </w:rPr>
        <w:t>References</w:t>
      </w:r>
    </w:p>
    <w:p w14:paraId="0A3B74FD" w14:textId="77777777" w:rsidR="00ED4AAF" w:rsidRDefault="00000000">
      <w:pPr>
        <w:spacing w:after="120" w:line="276" w:lineRule="auto"/>
        <w:ind w:left="360" w:hanging="360"/>
      </w:pPr>
      <w:r>
        <w:rPr>
          <w:sz w:val="22"/>
          <w:szCs w:val="22"/>
        </w:rPr>
        <w:t>Acerbi, C., and D. Tasche. 2002. On the coherence of expected shortfall. Journal of Banking and Finance 26 (7): 1487-1503.</w:t>
      </w:r>
    </w:p>
    <w:p w14:paraId="2603D65E" w14:textId="77777777" w:rsidR="00ED4AAF" w:rsidRDefault="00000000">
      <w:pPr>
        <w:spacing w:after="120" w:line="276" w:lineRule="auto"/>
        <w:ind w:left="360" w:hanging="360"/>
      </w:pPr>
      <w:r>
        <w:rPr>
          <w:sz w:val="22"/>
          <w:szCs w:val="22"/>
        </w:rPr>
        <w:t>Appel, I., and J. Grennan. 2023. Control of decentralized autonomous organizations. AEA Papers and Proceedings 113: 182-185.</w:t>
      </w:r>
    </w:p>
    <w:p w14:paraId="7C43A06C" w14:textId="77777777" w:rsidR="00ED4AAF" w:rsidRDefault="00000000">
      <w:pPr>
        <w:spacing w:after="120" w:line="276" w:lineRule="auto"/>
        <w:ind w:left="360" w:hanging="360"/>
      </w:pPr>
      <w:r>
        <w:rPr>
          <w:sz w:val="22"/>
          <w:szCs w:val="22"/>
        </w:rPr>
        <w:t>Appel, I., and J. Grennan. 2024. Decentralized governance and digital asset prices. Darden Business School Working Paper No. 4367209.</w:t>
      </w:r>
    </w:p>
    <w:p w14:paraId="496E4BFD" w14:textId="77777777" w:rsidR="00ED4AAF" w:rsidRDefault="00000000">
      <w:pPr>
        <w:spacing w:after="120" w:line="276" w:lineRule="auto"/>
        <w:ind w:left="360" w:hanging="360"/>
      </w:pPr>
      <w:proofErr w:type="spellStart"/>
      <w:r>
        <w:rPr>
          <w:sz w:val="22"/>
          <w:szCs w:val="22"/>
        </w:rPr>
        <w:t>Artzner</w:t>
      </w:r>
      <w:proofErr w:type="spellEnd"/>
      <w:r>
        <w:rPr>
          <w:sz w:val="22"/>
          <w:szCs w:val="22"/>
        </w:rPr>
        <w:t xml:space="preserve">, P., F. </w:t>
      </w:r>
      <w:proofErr w:type="spellStart"/>
      <w:r>
        <w:rPr>
          <w:sz w:val="22"/>
          <w:szCs w:val="22"/>
        </w:rPr>
        <w:t>Delbaen</w:t>
      </w:r>
      <w:proofErr w:type="spellEnd"/>
      <w:r>
        <w:rPr>
          <w:sz w:val="22"/>
          <w:szCs w:val="22"/>
        </w:rPr>
        <w:t>, J.-M. Eber, and D. Heath. 1999. Coherent measures of risk. Mathematical Finance 9 (3): 203-228.</w:t>
      </w:r>
    </w:p>
    <w:p w14:paraId="27661363" w14:textId="77777777" w:rsidR="00ED4AAF" w:rsidRDefault="00000000">
      <w:pPr>
        <w:spacing w:after="120" w:line="276" w:lineRule="auto"/>
        <w:ind w:left="360" w:hanging="360"/>
      </w:pPr>
      <w:r>
        <w:rPr>
          <w:sz w:val="22"/>
          <w:szCs w:val="22"/>
        </w:rPr>
        <w:t xml:space="preserve">Balkema, A. A., and L. de Haan. 1974. Residual </w:t>
      </w:r>
      <w:proofErr w:type="gramStart"/>
      <w:r>
        <w:rPr>
          <w:sz w:val="22"/>
          <w:szCs w:val="22"/>
        </w:rPr>
        <w:t>life time</w:t>
      </w:r>
      <w:proofErr w:type="gramEnd"/>
      <w:r>
        <w:rPr>
          <w:sz w:val="22"/>
          <w:szCs w:val="22"/>
        </w:rPr>
        <w:t xml:space="preserve"> at great age. Annals of Probability 2 (5): 792-804.</w:t>
      </w:r>
    </w:p>
    <w:p w14:paraId="120274B7" w14:textId="77777777" w:rsidR="00ED4AAF" w:rsidRDefault="00000000">
      <w:pPr>
        <w:spacing w:after="120" w:line="276" w:lineRule="auto"/>
        <w:ind w:left="360" w:hanging="360"/>
      </w:pPr>
      <w:r>
        <w:rPr>
          <w:sz w:val="22"/>
          <w:szCs w:val="22"/>
        </w:rPr>
        <w:t xml:space="preserve">Banco Central do </w:t>
      </w:r>
      <w:proofErr w:type="spellStart"/>
      <w:r>
        <w:rPr>
          <w:sz w:val="22"/>
          <w:szCs w:val="22"/>
        </w:rPr>
        <w:t>Brasil</w:t>
      </w:r>
      <w:proofErr w:type="spellEnd"/>
      <w:r>
        <w:rPr>
          <w:sz w:val="22"/>
          <w:szCs w:val="22"/>
        </w:rPr>
        <w:t xml:space="preserve">. </w:t>
      </w:r>
      <w:proofErr w:type="spellStart"/>
      <w:r>
        <w:rPr>
          <w:sz w:val="22"/>
          <w:szCs w:val="22"/>
        </w:rPr>
        <w:t>IF.data</w:t>
      </w:r>
      <w:proofErr w:type="spellEnd"/>
      <w:r>
        <w:rPr>
          <w:sz w:val="22"/>
          <w:szCs w:val="22"/>
        </w:rPr>
        <w:t>: Selected information on supervised institutions. Public database, various years.</w:t>
      </w:r>
    </w:p>
    <w:p w14:paraId="0344495B" w14:textId="77777777" w:rsidR="00ED4AAF" w:rsidRDefault="00000000">
      <w:pPr>
        <w:spacing w:after="120" w:line="276" w:lineRule="auto"/>
        <w:ind w:left="360" w:hanging="360"/>
      </w:pPr>
      <w:r>
        <w:rPr>
          <w:sz w:val="22"/>
          <w:szCs w:val="22"/>
        </w:rPr>
        <w:t>Bank Policy Institute. 2026. Crypto hacks and DeFi runs. BPI research note, April 2026.</w:t>
      </w:r>
    </w:p>
    <w:p w14:paraId="6DBED65D" w14:textId="77777777" w:rsidR="00ED4AAF" w:rsidRDefault="00000000">
      <w:pPr>
        <w:spacing w:after="120" w:line="276" w:lineRule="auto"/>
        <w:ind w:left="360" w:hanging="360"/>
      </w:pPr>
      <w:r>
        <w:rPr>
          <w:sz w:val="22"/>
          <w:szCs w:val="22"/>
        </w:rPr>
        <w:lastRenderedPageBreak/>
        <w:t xml:space="preserve">Chavez-Demoulin, V., P. </w:t>
      </w:r>
      <w:proofErr w:type="spellStart"/>
      <w:r>
        <w:rPr>
          <w:sz w:val="22"/>
          <w:szCs w:val="22"/>
        </w:rPr>
        <w:t>Embrechts</w:t>
      </w:r>
      <w:proofErr w:type="spellEnd"/>
      <w:r>
        <w:rPr>
          <w:sz w:val="22"/>
          <w:szCs w:val="22"/>
        </w:rPr>
        <w:t xml:space="preserve">, and J. </w:t>
      </w:r>
      <w:proofErr w:type="spellStart"/>
      <w:r>
        <w:rPr>
          <w:sz w:val="22"/>
          <w:szCs w:val="22"/>
        </w:rPr>
        <w:t>Neslehova</w:t>
      </w:r>
      <w:proofErr w:type="spellEnd"/>
      <w:r>
        <w:rPr>
          <w:sz w:val="22"/>
          <w:szCs w:val="22"/>
        </w:rPr>
        <w:t>. 2006. Quantitative models for operational risk: Extremes, dependence and aggregation. Journal of Banking and Finance 30 (10): 2635-2658.</w:t>
      </w:r>
    </w:p>
    <w:p w14:paraId="4D32915E" w14:textId="77777777" w:rsidR="00ED4AAF" w:rsidRDefault="00000000">
      <w:pPr>
        <w:spacing w:after="120" w:line="276" w:lineRule="auto"/>
        <w:ind w:left="360" w:hanging="360"/>
      </w:pPr>
      <w:r>
        <w:rPr>
          <w:sz w:val="22"/>
          <w:szCs w:val="22"/>
        </w:rPr>
        <w:t>Chiaramonte, L., F. Poli, and M. E. Oriani. 2015. Are cooperative banks a lever for promoting bank stability? Evidence from the recent financial crisis in OECD countries. European Financial Management 21 (3): 491-523.</w:t>
      </w:r>
    </w:p>
    <w:p w14:paraId="27FF9CFD" w14:textId="77777777" w:rsidR="00ED4AAF" w:rsidRDefault="00000000">
      <w:pPr>
        <w:spacing w:after="120" w:line="276" w:lineRule="auto"/>
        <w:ind w:left="360" w:hanging="360"/>
      </w:pPr>
      <w:r>
        <w:rPr>
          <w:sz w:val="22"/>
          <w:szCs w:val="22"/>
        </w:rPr>
        <w:t>Eling, M., and J. Wirfs. 2019. What are the actual costs of cyber risk events? European Journal of Operational Research 272 (3): 1109-1119.</w:t>
      </w:r>
    </w:p>
    <w:p w14:paraId="14366796" w14:textId="77777777" w:rsidR="00ED4AAF" w:rsidRDefault="00000000">
      <w:pPr>
        <w:spacing w:after="120" w:line="276" w:lineRule="auto"/>
        <w:ind w:left="360" w:hanging="360"/>
      </w:pPr>
      <w:proofErr w:type="spellStart"/>
      <w:r>
        <w:rPr>
          <w:sz w:val="22"/>
          <w:szCs w:val="22"/>
        </w:rPr>
        <w:t>Embrechts</w:t>
      </w:r>
      <w:proofErr w:type="spellEnd"/>
      <w:r>
        <w:rPr>
          <w:sz w:val="22"/>
          <w:szCs w:val="22"/>
        </w:rPr>
        <w:t xml:space="preserve">, P., C. </w:t>
      </w:r>
      <w:proofErr w:type="spellStart"/>
      <w:r>
        <w:rPr>
          <w:sz w:val="22"/>
          <w:szCs w:val="22"/>
        </w:rPr>
        <w:t>Kluppelberg</w:t>
      </w:r>
      <w:proofErr w:type="spellEnd"/>
      <w:r>
        <w:rPr>
          <w:sz w:val="22"/>
          <w:szCs w:val="22"/>
        </w:rPr>
        <w:t>, and T. Mikosch. 1997. Modelling Extremal Events for Insurance and Finance. Berlin: Springer.</w:t>
      </w:r>
    </w:p>
    <w:p w14:paraId="06309886" w14:textId="77777777" w:rsidR="00ED4AAF" w:rsidRDefault="00000000">
      <w:pPr>
        <w:spacing w:after="120" w:line="276" w:lineRule="auto"/>
        <w:ind w:left="360" w:hanging="360"/>
      </w:pPr>
      <w:r>
        <w:rPr>
          <w:sz w:val="22"/>
          <w:szCs w:val="22"/>
        </w:rPr>
        <w:t>Gudgeon, L., D. Perez, D. Harz, B. Livshits, and A. Gervais. 2020. The decentralized financial crisis. Proceedings of the Crypto Valley Conference on Blockchain Technology: 1-15.</w:t>
      </w:r>
    </w:p>
    <w:p w14:paraId="1157F48B" w14:textId="77777777" w:rsidR="00ED4AAF" w:rsidRDefault="00000000">
      <w:pPr>
        <w:spacing w:after="120" w:line="276" w:lineRule="auto"/>
        <w:ind w:left="360" w:hanging="360"/>
      </w:pPr>
      <w:r>
        <w:rPr>
          <w:sz w:val="22"/>
          <w:szCs w:val="22"/>
        </w:rPr>
        <w:t>Hansmann, H. 1996. The Ownership of Enterprise. Cambridge, MA: Harvard University Press.</w:t>
      </w:r>
    </w:p>
    <w:p w14:paraId="764D443F" w14:textId="77777777" w:rsidR="00ED4AAF" w:rsidRDefault="00000000">
      <w:pPr>
        <w:spacing w:after="120" w:line="276" w:lineRule="auto"/>
        <w:ind w:left="360" w:hanging="360"/>
      </w:pPr>
      <w:r>
        <w:rPr>
          <w:sz w:val="22"/>
          <w:szCs w:val="22"/>
        </w:rPr>
        <w:t>Hesse, H., and M. Cihak. 2007. Cooperative banks and financial stability. IMF Working Paper 07/02. Washington: International Monetary Fund.</w:t>
      </w:r>
    </w:p>
    <w:p w14:paraId="0D40173B" w14:textId="77777777" w:rsidR="00ED4AAF" w:rsidRDefault="00000000">
      <w:pPr>
        <w:spacing w:after="120" w:line="276" w:lineRule="auto"/>
        <w:ind w:left="360" w:hanging="360"/>
      </w:pPr>
      <w:r>
        <w:rPr>
          <w:sz w:val="22"/>
          <w:szCs w:val="22"/>
        </w:rPr>
        <w:t>Kupiec, P. 1995. Techniques for verifying the accuracy of risk measurement models. Journal of Derivatives 3 (2): 73-84.</w:t>
      </w:r>
    </w:p>
    <w:p w14:paraId="6EC7ED1A" w14:textId="77777777" w:rsidR="00ED4AAF" w:rsidRDefault="00000000">
      <w:pPr>
        <w:spacing w:after="120" w:line="276" w:lineRule="auto"/>
        <w:ind w:left="360" w:hanging="360"/>
      </w:pPr>
      <w:r>
        <w:rPr>
          <w:sz w:val="22"/>
          <w:szCs w:val="22"/>
        </w:rPr>
        <w:t>McKillop, D., D. French, B. Quinn, A. L. Sobiech, and J. O. S. Wilson. 2020. Cooperative financial institutions: A review of the literature. International Review of Financial Analysis 71: 101520.</w:t>
      </w:r>
    </w:p>
    <w:p w14:paraId="06DFE0E8" w14:textId="77777777" w:rsidR="00ED4AAF" w:rsidRDefault="00000000">
      <w:pPr>
        <w:spacing w:after="120" w:line="276" w:lineRule="auto"/>
        <w:ind w:left="360" w:hanging="360"/>
      </w:pPr>
      <w:r>
        <w:rPr>
          <w:sz w:val="22"/>
          <w:szCs w:val="22"/>
        </w:rPr>
        <w:t xml:space="preserve">McNeil, A. J., R. Frey, and P. </w:t>
      </w:r>
      <w:proofErr w:type="spellStart"/>
      <w:r>
        <w:rPr>
          <w:sz w:val="22"/>
          <w:szCs w:val="22"/>
        </w:rPr>
        <w:t>Embrechts</w:t>
      </w:r>
      <w:proofErr w:type="spellEnd"/>
      <w:r>
        <w:rPr>
          <w:sz w:val="22"/>
          <w:szCs w:val="22"/>
        </w:rPr>
        <w:t>. 2015. Quantitative Risk Management: Concepts, Techniques and Tools. Revised edition. Princeton: Princeton University Press.</w:t>
      </w:r>
    </w:p>
    <w:p w14:paraId="55C3CB78" w14:textId="77777777" w:rsidR="00ED4AAF" w:rsidRPr="002C4852" w:rsidRDefault="00000000">
      <w:pPr>
        <w:spacing w:after="120" w:line="276" w:lineRule="auto"/>
        <w:ind w:left="360" w:hanging="360"/>
        <w:rPr>
          <w:lang w:val="it-IT"/>
        </w:rPr>
      </w:pPr>
      <w:r>
        <w:rPr>
          <w:sz w:val="22"/>
          <w:szCs w:val="22"/>
        </w:rPr>
        <w:t xml:space="preserve">Moscadelli, M. 2004. The modelling of operational risk: Experience with the analysis of the data collected by the Basel Committee. </w:t>
      </w:r>
      <w:r w:rsidRPr="002C4852">
        <w:rPr>
          <w:sz w:val="22"/>
          <w:szCs w:val="22"/>
          <w:lang w:val="it-IT"/>
        </w:rPr>
        <w:t>Banca d'Italia Temi di Discussione No. 517.</w:t>
      </w:r>
    </w:p>
    <w:p w14:paraId="5361945B" w14:textId="77777777" w:rsidR="00ED4AAF" w:rsidRDefault="00000000">
      <w:pPr>
        <w:spacing w:after="120" w:line="276" w:lineRule="auto"/>
        <w:ind w:left="360" w:hanging="360"/>
      </w:pPr>
      <w:r w:rsidRPr="002C4852">
        <w:rPr>
          <w:sz w:val="22"/>
          <w:szCs w:val="22"/>
          <w:lang w:val="it-IT"/>
        </w:rPr>
        <w:t xml:space="preserve">Perez, D., S. M. Werner, J. Xu, and B. Livshits. </w:t>
      </w:r>
      <w:r>
        <w:rPr>
          <w:sz w:val="22"/>
          <w:szCs w:val="22"/>
        </w:rPr>
        <w:t>2021. Liquidations: DeFi on a knife-edge. Financial Cryptography and Data Security, Lecture Notes in Computer Science 12674: 457-476.</w:t>
      </w:r>
    </w:p>
    <w:p w14:paraId="61855820" w14:textId="77777777" w:rsidR="00ED4AAF" w:rsidRDefault="00000000">
      <w:pPr>
        <w:spacing w:after="120" w:line="276" w:lineRule="auto"/>
        <w:ind w:left="360" w:hanging="360"/>
      </w:pPr>
      <w:proofErr w:type="spellStart"/>
      <w:r>
        <w:rPr>
          <w:sz w:val="22"/>
          <w:szCs w:val="22"/>
        </w:rPr>
        <w:t>Pickands</w:t>
      </w:r>
      <w:proofErr w:type="spellEnd"/>
      <w:r>
        <w:rPr>
          <w:sz w:val="22"/>
          <w:szCs w:val="22"/>
        </w:rPr>
        <w:t>, J. 1975. Statistical inference using extreme order statistics. Annals of Statistics 3 (1): 119-131.</w:t>
      </w:r>
    </w:p>
    <w:p w14:paraId="5392A122" w14:textId="77777777" w:rsidR="00ED4AAF" w:rsidRDefault="00000000">
      <w:pPr>
        <w:spacing w:after="120" w:line="276" w:lineRule="auto"/>
        <w:ind w:left="360" w:hanging="360"/>
      </w:pPr>
      <w:r>
        <w:rPr>
          <w:sz w:val="22"/>
          <w:szCs w:val="22"/>
        </w:rPr>
        <w:t>Schar, F. 2021. Decentralized finance: On blockchain- and smart contract-based financial markets. Federal Reserve Bank of St. Louis Review 103 (2): 153-174.</w:t>
      </w:r>
    </w:p>
    <w:p w14:paraId="3B3C8991" w14:textId="77777777" w:rsidR="00ED4AAF" w:rsidRPr="002C4852" w:rsidRDefault="00000000">
      <w:pPr>
        <w:spacing w:after="120" w:line="276" w:lineRule="auto"/>
        <w:ind w:left="360" w:hanging="360"/>
        <w:rPr>
          <w:lang w:val="de-DE"/>
        </w:rPr>
      </w:pPr>
      <w:r>
        <w:rPr>
          <w:sz w:val="22"/>
          <w:szCs w:val="22"/>
        </w:rPr>
        <w:t xml:space="preserve">Smith, R. L. 1985. Maximum likelihood estimation in a class of nonregular cases. </w:t>
      </w:r>
      <w:r w:rsidRPr="002C4852">
        <w:rPr>
          <w:sz w:val="22"/>
          <w:szCs w:val="22"/>
          <w:lang w:val="de-DE"/>
        </w:rPr>
        <w:t>Biometrika 72 (1): 67-90.</w:t>
      </w:r>
    </w:p>
    <w:p w14:paraId="1C764EF4" w14:textId="77777777" w:rsidR="00ED4AAF" w:rsidRDefault="00000000">
      <w:pPr>
        <w:spacing w:after="120" w:line="276" w:lineRule="auto"/>
        <w:ind w:left="360" w:hanging="360"/>
      </w:pPr>
      <w:r w:rsidRPr="002C4852">
        <w:rPr>
          <w:sz w:val="22"/>
          <w:szCs w:val="22"/>
          <w:lang w:val="de-DE"/>
        </w:rPr>
        <w:t xml:space="preserve">Werner, S. M., D. Perez, L. Gudgeon, A. Klages-Mundt, D. Harz, and W. J. Knottenbelt. </w:t>
      </w:r>
      <w:r>
        <w:rPr>
          <w:sz w:val="22"/>
          <w:szCs w:val="22"/>
        </w:rPr>
        <w:t>2022. S</w:t>
      </w:r>
      <w:proofErr w:type="spellStart"/>
      <w:r>
        <w:rPr>
          <w:sz w:val="22"/>
          <w:szCs w:val="22"/>
        </w:rPr>
        <w:t>oK</w:t>
      </w:r>
      <w:proofErr w:type="spellEnd"/>
      <w:r>
        <w:rPr>
          <w:sz w:val="22"/>
          <w:szCs w:val="22"/>
        </w:rPr>
        <w:t>: Decentralized finance (DeFi). Proceedings of the 4th ACM Conference on Advances in Financial Technologies: 30-46.</w:t>
      </w:r>
    </w:p>
    <w:p w14:paraId="01BFA0DD" w14:textId="77777777" w:rsidR="00ED4AAF" w:rsidRDefault="00000000">
      <w:pPr>
        <w:pStyle w:val="Heading1"/>
        <w:spacing w:before="320" w:after="200"/>
      </w:pPr>
      <w:r>
        <w:rPr>
          <w:b/>
          <w:bCs/>
          <w:color w:val="000000"/>
          <w:sz w:val="26"/>
          <w:szCs w:val="26"/>
        </w:rPr>
        <w:t>Data and Code Availability</w:t>
      </w:r>
    </w:p>
    <w:p w14:paraId="2F8AF6EF" w14:textId="77777777" w:rsidR="00ED4AAF" w:rsidRDefault="00000000">
      <w:pPr>
        <w:spacing w:after="160" w:line="300" w:lineRule="auto"/>
        <w:jc w:val="both"/>
      </w:pPr>
      <w:r>
        <w:t xml:space="preserve">All inputs are open data: the </w:t>
      </w:r>
      <w:proofErr w:type="spellStart"/>
      <w:r>
        <w:t>DefiLlama</w:t>
      </w:r>
      <w:proofErr w:type="spellEnd"/>
      <w:r>
        <w:t xml:space="preserve"> hacks database and protocol registry, and Banco Central do </w:t>
      </w:r>
      <w:proofErr w:type="spellStart"/>
      <w:r>
        <w:t>Brasil</w:t>
      </w:r>
      <w:proofErr w:type="spellEnd"/>
      <w:r>
        <w:t xml:space="preserve"> </w:t>
      </w:r>
      <w:proofErr w:type="spellStart"/>
      <w:r>
        <w:t>IF.data</w:t>
      </w:r>
      <w:proofErr w:type="spellEnd"/>
      <w:r>
        <w:t xml:space="preserve"> filings, frozen to disk with recorded pull dates and checksums. The estimation pipeline, the fixed seed, and the independent verification script that recomputes every table from the raw files are available from the author. Rerunning the pipeline reproduces every reported value exactly.</w:t>
      </w:r>
    </w:p>
    <w:sectPr w:rsidR="00ED4AA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55F41" w14:textId="77777777" w:rsidR="00042C12" w:rsidRDefault="00042C12">
      <w:r>
        <w:separator/>
      </w:r>
    </w:p>
  </w:endnote>
  <w:endnote w:type="continuationSeparator" w:id="0">
    <w:p w14:paraId="5F9D297D" w14:textId="77777777" w:rsidR="00042C12" w:rsidRDefault="00042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5417" w14:textId="77777777" w:rsidR="00ED4AAF" w:rsidRDefault="00000000">
    <w:pPr>
      <w:jc w:val="center"/>
    </w:pPr>
    <w:r>
      <w:rPr>
        <w:sz w:val="20"/>
        <w:szCs w:val="20"/>
      </w:rPr>
      <w:fldChar w:fldCharType="begin"/>
    </w:r>
    <w:r>
      <w:rPr>
        <w:sz w:val="20"/>
        <w:szCs w:val="20"/>
      </w:rPr>
      <w:instrText>PAGE</w:instrText>
    </w:r>
    <w:r>
      <w:rPr>
        <w:sz w:val="20"/>
        <w:szCs w:val="20"/>
      </w:rPr>
      <w:fldChar w:fldCharType="separate"/>
    </w:r>
    <w:r w:rsidR="002C485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B73E" w14:textId="77777777" w:rsidR="00042C12" w:rsidRDefault="00042C12">
      <w:r>
        <w:separator/>
      </w:r>
    </w:p>
  </w:footnote>
  <w:footnote w:type="continuationSeparator" w:id="0">
    <w:p w14:paraId="605F8695" w14:textId="77777777" w:rsidR="00042C12" w:rsidRDefault="00042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51ABF"/>
    <w:multiLevelType w:val="hybridMultilevel"/>
    <w:tmpl w:val="93A496C2"/>
    <w:lvl w:ilvl="0" w:tplc="13A88584">
      <w:start w:val="1"/>
      <w:numFmt w:val="bullet"/>
      <w:lvlText w:val="●"/>
      <w:lvlJc w:val="left"/>
      <w:pPr>
        <w:ind w:left="720" w:hanging="360"/>
      </w:pPr>
    </w:lvl>
    <w:lvl w:ilvl="1" w:tplc="9A66C7A6">
      <w:start w:val="1"/>
      <w:numFmt w:val="bullet"/>
      <w:lvlText w:val="○"/>
      <w:lvlJc w:val="left"/>
      <w:pPr>
        <w:ind w:left="1440" w:hanging="360"/>
      </w:pPr>
    </w:lvl>
    <w:lvl w:ilvl="2" w:tplc="C49E6EB6">
      <w:start w:val="1"/>
      <w:numFmt w:val="bullet"/>
      <w:lvlText w:val="■"/>
      <w:lvlJc w:val="left"/>
      <w:pPr>
        <w:ind w:left="2160" w:hanging="360"/>
      </w:pPr>
    </w:lvl>
    <w:lvl w:ilvl="3" w:tplc="C77A3586">
      <w:start w:val="1"/>
      <w:numFmt w:val="bullet"/>
      <w:lvlText w:val="●"/>
      <w:lvlJc w:val="left"/>
      <w:pPr>
        <w:ind w:left="2880" w:hanging="360"/>
      </w:pPr>
    </w:lvl>
    <w:lvl w:ilvl="4" w:tplc="D9F635B8">
      <w:start w:val="1"/>
      <w:numFmt w:val="bullet"/>
      <w:lvlText w:val="○"/>
      <w:lvlJc w:val="left"/>
      <w:pPr>
        <w:ind w:left="3600" w:hanging="360"/>
      </w:pPr>
    </w:lvl>
    <w:lvl w:ilvl="5" w:tplc="1A6E787E">
      <w:start w:val="1"/>
      <w:numFmt w:val="bullet"/>
      <w:lvlText w:val="■"/>
      <w:lvlJc w:val="left"/>
      <w:pPr>
        <w:ind w:left="4320" w:hanging="360"/>
      </w:pPr>
    </w:lvl>
    <w:lvl w:ilvl="6" w:tplc="F21A9894">
      <w:start w:val="1"/>
      <w:numFmt w:val="bullet"/>
      <w:lvlText w:val="●"/>
      <w:lvlJc w:val="left"/>
      <w:pPr>
        <w:ind w:left="5040" w:hanging="360"/>
      </w:pPr>
    </w:lvl>
    <w:lvl w:ilvl="7" w:tplc="D8B2C536">
      <w:start w:val="1"/>
      <w:numFmt w:val="bullet"/>
      <w:lvlText w:val="●"/>
      <w:lvlJc w:val="left"/>
      <w:pPr>
        <w:ind w:left="5760" w:hanging="360"/>
      </w:pPr>
    </w:lvl>
    <w:lvl w:ilvl="8" w:tplc="348A1E48">
      <w:start w:val="1"/>
      <w:numFmt w:val="bullet"/>
      <w:lvlText w:val="●"/>
      <w:lvlJc w:val="left"/>
      <w:pPr>
        <w:ind w:left="6480" w:hanging="360"/>
      </w:pPr>
    </w:lvl>
  </w:abstractNum>
  <w:num w:numId="1" w16cid:durableId="1740975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AAF"/>
    <w:rsid w:val="00042C12"/>
    <w:rsid w:val="002C4852"/>
    <w:rsid w:val="00691FC2"/>
    <w:rsid w:val="00ED4A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2352"/>
  <w15:docId w15:val="{97309B17-2A9B-4F57-B270-4E7AB843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5108</Words>
  <Characters>29119</Characters>
  <Application>Microsoft Office Word</Application>
  <DocSecurity>0</DocSecurity>
  <Lines>242</Lines>
  <Paragraphs>68</Paragraphs>
  <ScaleCrop>false</ScaleCrop>
  <Company/>
  <LinksUpToDate>false</LinksUpToDate>
  <CharactersWithSpaces>34159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Johnson</cp:lastModifiedBy>
  <cp:revision>2</cp:revision>
  <dcterms:created xsi:type="dcterms:W3CDTF">2026-07-02T09:27:00Z</dcterms:created>
  <dcterms:modified xsi:type="dcterms:W3CDTF">2026-07-02T09:27:00Z</dcterms:modified>
</cp:coreProperties>
</file>