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C0" w:rsidRPr="00B769C0" w:rsidRDefault="00B769C0" w:rsidP="00B769C0">
      <w:pPr>
        <w:pStyle w:val="ListParagraph"/>
        <w:numPr>
          <w:ilvl w:val="0"/>
          <w:numId w:val="1"/>
        </w:numPr>
        <w:rPr>
          <w:b/>
          <w:i/>
        </w:rPr>
      </w:pPr>
      <w:r w:rsidRPr="00B769C0">
        <w:rPr>
          <w:b/>
          <w:i/>
        </w:rPr>
        <w:t>What are three conclusions we can make about Kickstarter campaigns given the provided data?</w:t>
      </w:r>
    </w:p>
    <w:p w:rsidR="00B769C0" w:rsidRDefault="00B769C0" w:rsidP="00B769C0">
      <w:pPr>
        <w:pStyle w:val="ListParagraph"/>
      </w:pPr>
    </w:p>
    <w:p w:rsidR="00B769C0" w:rsidRDefault="00B769C0" w:rsidP="00B769C0">
      <w:pPr>
        <w:pStyle w:val="ListParagraph"/>
        <w:numPr>
          <w:ilvl w:val="1"/>
          <w:numId w:val="1"/>
        </w:numPr>
      </w:pPr>
      <w:r>
        <w:t xml:space="preserve">Projects in the music category have the highest success rate (79.4%) and projects in the food category have the lowest (17.5%) </w:t>
      </w:r>
    </w:p>
    <w:p w:rsidR="00B769C0" w:rsidRDefault="00B769C0" w:rsidP="00B769C0">
      <w:pPr>
        <w:pStyle w:val="ListParagraph"/>
        <w:numPr>
          <w:ilvl w:val="1"/>
          <w:numId w:val="1"/>
        </w:numPr>
      </w:pPr>
      <w:r>
        <w:t>Theatre is the category with the most projects and the second most successful (61.3%)</w:t>
      </w:r>
      <w:r w:rsidR="00877322">
        <w:t>, making it therefore the category with the most successful projects by absolute number (839). The vast majority of those projects are theatrical plays (82.7%), who enjoy a success rate of 66.3%</w:t>
      </w:r>
    </w:p>
    <w:p w:rsidR="00877322" w:rsidRDefault="00877322" w:rsidP="00B769C0">
      <w:pPr>
        <w:pStyle w:val="ListParagraph"/>
        <w:numPr>
          <w:ilvl w:val="1"/>
          <w:numId w:val="1"/>
        </w:numPr>
      </w:pPr>
      <w:r>
        <w:t xml:space="preserve">2015 saw a peak in the number of projects that by 2017 had returned back to 2013 levels, showing a possible </w:t>
      </w:r>
      <w:r w:rsidR="002F7FCD">
        <w:t>loss</w:t>
      </w:r>
      <w:r>
        <w:t xml:space="preserve"> of interest (see chart)</w:t>
      </w:r>
      <w:r w:rsidR="00EC5981">
        <w:t>. This also shows a much higher success rate prior to 2013.</w:t>
      </w:r>
    </w:p>
    <w:p w:rsidR="00877322" w:rsidRDefault="00877322" w:rsidP="00877322">
      <w:pPr>
        <w:ind w:left="720" w:firstLine="720"/>
      </w:pPr>
      <w:r>
        <w:rPr>
          <w:noProof/>
        </w:rPr>
        <w:drawing>
          <wp:inline distT="0" distB="0" distL="0" distR="0" wp14:anchorId="3A26F045" wp14:editId="58FA92EC">
            <wp:extent cx="4798612" cy="2138901"/>
            <wp:effectExtent l="0" t="0" r="254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69C0" w:rsidRDefault="00B769C0" w:rsidP="00B769C0">
      <w:pPr>
        <w:pStyle w:val="ListParagraph"/>
      </w:pPr>
    </w:p>
    <w:p w:rsidR="00B769C0" w:rsidRPr="00B769C0" w:rsidRDefault="00B769C0" w:rsidP="00B769C0">
      <w:pPr>
        <w:pStyle w:val="ListParagraph"/>
        <w:numPr>
          <w:ilvl w:val="0"/>
          <w:numId w:val="1"/>
        </w:numPr>
        <w:rPr>
          <w:b/>
          <w:i/>
        </w:rPr>
      </w:pPr>
      <w:r w:rsidRPr="00B769C0">
        <w:rPr>
          <w:b/>
          <w:i/>
        </w:rPr>
        <w:t>What are some of the limitations of this dataset?</w:t>
      </w:r>
    </w:p>
    <w:p w:rsidR="00B769C0" w:rsidRDefault="00B769C0" w:rsidP="00B769C0">
      <w:pPr>
        <w:pStyle w:val="ListParagraph"/>
      </w:pPr>
    </w:p>
    <w:p w:rsidR="007D4941" w:rsidRDefault="007D4941" w:rsidP="00EC5981">
      <w:pPr>
        <w:pStyle w:val="ListParagraph"/>
        <w:numPr>
          <w:ilvl w:val="1"/>
          <w:numId w:val="1"/>
        </w:numPr>
      </w:pPr>
      <w:r>
        <w:t>There are no data available about the kind</w:t>
      </w:r>
      <w:r w:rsidR="00F11EFF">
        <w:t>/level</w:t>
      </w:r>
      <w:r>
        <w:t xml:space="preserve"> of rewards offered per project.</w:t>
      </w:r>
      <w:r w:rsidR="00F11EFF">
        <w:t xml:space="preserve"> It would be interesting to see how this correlates to the amounts raised and to success rates.</w:t>
      </w:r>
    </w:p>
    <w:p w:rsidR="00B769C0" w:rsidRDefault="00EC5981" w:rsidP="00EC5981">
      <w:pPr>
        <w:pStyle w:val="ListParagraph"/>
        <w:numPr>
          <w:ilvl w:val="1"/>
          <w:numId w:val="1"/>
        </w:numPr>
      </w:pPr>
      <w:r>
        <w:t xml:space="preserve">There are no data available about the number of potential backers that viewed/considered each project but decided not to invest. This would be an indication of how successful the promotional campaign was for each project in drawing attention, and how much of a factor that was to the final outcome compared to </w:t>
      </w:r>
      <w:r w:rsidR="007D4941">
        <w:t>the actual quality of the project</w:t>
      </w:r>
      <w:r>
        <w:t>.</w:t>
      </w:r>
    </w:p>
    <w:p w:rsidR="00EC5981" w:rsidRDefault="007D4941" w:rsidP="00EC5981">
      <w:pPr>
        <w:pStyle w:val="ListParagraph"/>
        <w:numPr>
          <w:ilvl w:val="1"/>
          <w:numId w:val="1"/>
        </w:numPr>
      </w:pPr>
      <w:r>
        <w:t xml:space="preserve">There </w:t>
      </w:r>
      <w:r w:rsidR="00AF5B86">
        <w:t>are no data</w:t>
      </w:r>
      <w:r>
        <w:t xml:space="preserve"> available about the profiles of the project owners. Some people </w:t>
      </w:r>
      <w:r w:rsidR="00FA602B">
        <w:t xml:space="preserve">may </w:t>
      </w:r>
      <w:r>
        <w:t>decide to invest</w:t>
      </w:r>
      <w:r w:rsidR="002E5436">
        <w:t xml:space="preserve">, at least to some </w:t>
      </w:r>
      <w:r w:rsidR="00FA602B">
        <w:t>extent</w:t>
      </w:r>
      <w:r w:rsidR="002E5436">
        <w:t>,</w:t>
      </w:r>
      <w:r>
        <w:t xml:space="preserve"> based on who is going to implement the project, their experience, how much they like them etc.</w:t>
      </w:r>
      <w:r w:rsidR="002E5436">
        <w:t xml:space="preserve"> This would also give an indication of what kind of people invest in what kind projects and for what amounts.</w:t>
      </w:r>
    </w:p>
    <w:p w:rsidR="00B769C0" w:rsidRDefault="00B769C0" w:rsidP="00B769C0">
      <w:pPr>
        <w:pStyle w:val="ListParagraph"/>
      </w:pPr>
    </w:p>
    <w:p w:rsidR="00B769C0" w:rsidRDefault="00B769C0" w:rsidP="00B769C0">
      <w:pPr>
        <w:pStyle w:val="ListParagraph"/>
      </w:pPr>
    </w:p>
    <w:p w:rsidR="002F7FCD" w:rsidRDefault="002F7FCD">
      <w:pPr>
        <w:rPr>
          <w:b/>
          <w:i/>
        </w:rPr>
      </w:pPr>
      <w:r>
        <w:rPr>
          <w:b/>
          <w:i/>
        </w:rPr>
        <w:br w:type="page"/>
      </w:r>
    </w:p>
    <w:p w:rsidR="00B11951" w:rsidRPr="00B769C0" w:rsidRDefault="00B769C0" w:rsidP="00B769C0">
      <w:pPr>
        <w:pStyle w:val="ListParagraph"/>
        <w:numPr>
          <w:ilvl w:val="0"/>
          <w:numId w:val="1"/>
        </w:numPr>
        <w:rPr>
          <w:b/>
          <w:i/>
        </w:rPr>
      </w:pPr>
      <w:r w:rsidRPr="00B769C0">
        <w:rPr>
          <w:b/>
          <w:i/>
        </w:rPr>
        <w:lastRenderedPageBreak/>
        <w:t>What are some other possible tables/graphs that we could create?</w:t>
      </w:r>
    </w:p>
    <w:p w:rsidR="00B769C0" w:rsidRDefault="00B769C0" w:rsidP="00B769C0">
      <w:pPr>
        <w:pStyle w:val="ListParagraph"/>
      </w:pPr>
    </w:p>
    <w:p w:rsidR="00B769C0" w:rsidRDefault="00F20532" w:rsidP="00F20532">
      <w:pPr>
        <w:pStyle w:val="ListParagraph"/>
        <w:numPr>
          <w:ilvl w:val="1"/>
          <w:numId w:val="1"/>
        </w:numPr>
      </w:pPr>
      <w:r>
        <w:t>The chart shown above (and respective table) breaking the number of projects by year instead of month</w:t>
      </w:r>
    </w:p>
    <w:p w:rsidR="00F20532" w:rsidRDefault="00F20532" w:rsidP="00F20532">
      <w:pPr>
        <w:pStyle w:val="ListParagraph"/>
        <w:numPr>
          <w:ilvl w:val="1"/>
          <w:numId w:val="1"/>
        </w:numPr>
      </w:pPr>
      <w:r>
        <w:t xml:space="preserve">Tables/charts including the calculation of success rates, and possibly the number of backers and/or the average </w:t>
      </w:r>
      <w:r w:rsidR="007D4941">
        <w:t>investment</w:t>
      </w:r>
      <w:r>
        <w:t xml:space="preserve">, would allow to show a possible correlation between success and size/number of </w:t>
      </w:r>
      <w:r w:rsidR="002F7FCD">
        <w:t>investments</w:t>
      </w:r>
      <w:r>
        <w:t>.</w:t>
      </w:r>
    </w:p>
    <w:p w:rsidR="00F20532" w:rsidRDefault="00F20532" w:rsidP="00F20532">
      <w:pPr>
        <w:pStyle w:val="ListParagraph"/>
        <w:numPr>
          <w:ilvl w:val="1"/>
          <w:numId w:val="1"/>
        </w:numPr>
      </w:pPr>
      <w:r>
        <w:t xml:space="preserve">Tables/charts showing the goal levels for successful vs unsuccessful projects </w:t>
      </w:r>
      <w:r w:rsidR="002F7FCD">
        <w:t>with</w:t>
      </w:r>
      <w:r>
        <w:t xml:space="preserve">in </w:t>
      </w:r>
      <w:r w:rsidR="002F7FCD">
        <w:t>each</w:t>
      </w:r>
      <w:r>
        <w:t xml:space="preserve"> category. This would show if there is a correlation of projects</w:t>
      </w:r>
      <w:r w:rsidR="007D4941">
        <w:t xml:space="preserve"> being</w:t>
      </w:r>
      <w:r>
        <w:t xml:space="preserve"> </w:t>
      </w:r>
      <w:r w:rsidR="007D4941">
        <w:t xml:space="preserve">unsuccessful </w:t>
      </w:r>
      <w:r>
        <w:t>because of too ambitious goals.</w:t>
      </w:r>
    </w:p>
    <w:p w:rsidR="00FD55A2" w:rsidRDefault="00FD55A2" w:rsidP="00F20532">
      <w:pPr>
        <w:pStyle w:val="ListParagraph"/>
        <w:numPr>
          <w:ilvl w:val="1"/>
          <w:numId w:val="1"/>
        </w:numPr>
      </w:pPr>
      <w:r>
        <w:t xml:space="preserve">Tables/charts showing the duration of the campaign (Date Ended – Date Created) in comparison </w:t>
      </w:r>
      <w:r w:rsidR="007D4941">
        <w:t>to</w:t>
      </w:r>
      <w:r>
        <w:t xml:space="preserve"> </w:t>
      </w:r>
      <w:r w:rsidR="00EC5981">
        <w:t xml:space="preserve">the </w:t>
      </w:r>
      <w:r w:rsidR="0000340F">
        <w:t>goal</w:t>
      </w:r>
      <w:r>
        <w:t xml:space="preserve"> set</w:t>
      </w:r>
      <w:r w:rsidR="0000340F">
        <w:t xml:space="preserve"> and </w:t>
      </w:r>
      <w:r w:rsidR="00EC5981">
        <w:t xml:space="preserve">the </w:t>
      </w:r>
      <w:r w:rsidR="0000340F">
        <w:t>total amount pledged,</w:t>
      </w:r>
      <w:r>
        <w:t xml:space="preserve"> and possible correlation with the success rate.</w:t>
      </w:r>
    </w:p>
    <w:p w:rsidR="007D4941" w:rsidRDefault="007D4941" w:rsidP="00F20532">
      <w:pPr>
        <w:pStyle w:val="ListParagraph"/>
        <w:numPr>
          <w:ilvl w:val="1"/>
          <w:numId w:val="1"/>
        </w:numPr>
      </w:pPr>
      <w:r>
        <w:t>Scatter chart of average donation to goal set.</w:t>
      </w:r>
    </w:p>
    <w:p w:rsidR="005D4404" w:rsidRDefault="005D4404" w:rsidP="005D4404">
      <w:pPr>
        <w:rPr>
          <w:i/>
          <w:u w:val="single"/>
        </w:rPr>
      </w:pPr>
    </w:p>
    <w:p w:rsidR="005D4404" w:rsidRDefault="005D4404" w:rsidP="005D4404">
      <w:r w:rsidRPr="005D4404">
        <w:rPr>
          <w:i/>
          <w:u w:val="single"/>
        </w:rPr>
        <w:t>Peter’s Note</w:t>
      </w:r>
      <w:r>
        <w:t xml:space="preserve">: this was written before I worked on the bonus section, so I see now that there is some overlap but I didn’t remove </w:t>
      </w:r>
      <w:bookmarkStart w:id="0" w:name="_GoBack"/>
      <w:bookmarkEnd w:id="0"/>
      <w:r>
        <w:t>it.</w:t>
      </w:r>
    </w:p>
    <w:p w:rsidR="00B769C0" w:rsidRDefault="00B769C0" w:rsidP="00B769C0">
      <w:pPr>
        <w:pStyle w:val="ListParagraph"/>
      </w:pPr>
    </w:p>
    <w:sectPr w:rsidR="00B7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D1C0D"/>
    <w:multiLevelType w:val="hybridMultilevel"/>
    <w:tmpl w:val="A168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26"/>
    <w:rsid w:val="0000340F"/>
    <w:rsid w:val="002E5436"/>
    <w:rsid w:val="002F7FCD"/>
    <w:rsid w:val="005D4404"/>
    <w:rsid w:val="007D4941"/>
    <w:rsid w:val="00877322"/>
    <w:rsid w:val="00990826"/>
    <w:rsid w:val="00AF5B86"/>
    <w:rsid w:val="00B769C0"/>
    <w:rsid w:val="00D25AD7"/>
    <w:rsid w:val="00EC5981"/>
    <w:rsid w:val="00F11EFF"/>
    <w:rsid w:val="00F20532"/>
    <w:rsid w:val="00FA4CD3"/>
    <w:rsid w:val="00FA602B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444F"/>
  <w15:chartTrackingRefBased/>
  <w15:docId w15:val="{067F6350-27C4-424A-9479-FBE763DC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phan\Desktop\Wash%20U\01-Excel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Date!PivotTable5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rgbClr val="00B0F0"/>
            </a:solidFill>
            <a:ln w="9525">
              <a:solidFill>
                <a:srgbClr val="00B0F0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rgbClr val="00B0F0"/>
            </a:solidFill>
            <a:ln w="9525">
              <a:solidFill>
                <a:srgbClr val="00B0F0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rgbClr val="FFC000"/>
            </a:solidFill>
            <a:ln w="9525">
              <a:solidFill>
                <a:srgbClr val="FFC000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rgbClr val="00B0F0"/>
            </a:solidFill>
            <a:ln w="9525">
              <a:solidFill>
                <a:srgbClr val="00B0F0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'Pivot Date'!$A$6:$A$15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Date'!$B$6:$B$15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2-453C-833C-ECD1972207BD}"/>
            </c:ext>
          </c:extLst>
        </c:ser>
        <c:ser>
          <c:idx val="1"/>
          <c:order val="1"/>
          <c:tx>
            <c:strRef>
              <c:f>'Pivot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'Pivot Date'!$A$6:$A$15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Date'!$C$6:$C$15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423</c:v>
                </c:pt>
                <c:pt idx="6">
                  <c:v>527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12-453C-833C-ECD1972207BD}"/>
            </c:ext>
          </c:extLst>
        </c:ser>
        <c:ser>
          <c:idx val="2"/>
          <c:order val="2"/>
          <c:tx>
            <c:strRef>
              <c:f>'Pivot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'Pivot Date'!$A$6:$A$15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Date'!$D$6:$D$15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12-453C-833C-ECD1972207BD}"/>
            </c:ext>
          </c:extLst>
        </c:ser>
        <c:ser>
          <c:idx val="3"/>
          <c:order val="3"/>
          <c:tx>
            <c:strRef>
              <c:f>'Pivot Date'!$E$4:$E$5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cat>
            <c:strRef>
              <c:f>'Pivot Date'!$A$6:$A$15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Date'!$E$6:$E$15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12-453C-833C-ECD197220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2825263"/>
        <c:axId val="1122821103"/>
      </c:lineChart>
      <c:catAx>
        <c:axId val="1122825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821103"/>
        <c:crosses val="autoZero"/>
        <c:auto val="1"/>
        <c:lblAlgn val="ctr"/>
        <c:lblOffset val="100"/>
        <c:noMultiLvlLbl val="0"/>
      </c:catAx>
      <c:valAx>
        <c:axId val="112282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82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solidFill>
            <a:srgbClr val="00B0F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Orphan, Peter J.</dc:creator>
  <cp:keywords/>
  <dc:description/>
  <cp:lastModifiedBy>Orphan, Peter J.</cp:lastModifiedBy>
  <cp:revision>6</cp:revision>
  <dcterms:created xsi:type="dcterms:W3CDTF">2019-01-13T04:07:00Z</dcterms:created>
  <dcterms:modified xsi:type="dcterms:W3CDTF">2019-01-13T07:39:00Z</dcterms:modified>
</cp:coreProperties>
</file>