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qqdyt7c65ly" w:id="0"/>
      <w:bookmarkEnd w:id="0"/>
      <w:r w:rsidDel="00000000" w:rsidR="00000000" w:rsidRPr="00000000">
        <w:rPr>
          <w:rtl w:val="0"/>
        </w:rPr>
        <w:t xml:space="preserve">Projektarbeit Data Analytics</w:t>
        <w:br w:type="textWrapping"/>
        <w:t xml:space="preserve">- Statistiken über Deutschland -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98yqnpb4reio" w:id="1"/>
      <w:bookmarkEnd w:id="1"/>
      <w:r w:rsidDel="00000000" w:rsidR="00000000" w:rsidRPr="00000000">
        <w:rPr>
          <w:rtl w:val="0"/>
        </w:rPr>
        <w:t xml:space="preserve">Bearbeitende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Gruppe B: Esra Aciksöz Werner, Alexander Warmbold, Kapila Kasam, Marcus Köbe, Nour-Eddine Kzaiber, Peter Thul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lt3b4pwndoe" w:id="2"/>
      <w:bookmarkEnd w:id="2"/>
      <w:r w:rsidDel="00000000" w:rsidR="00000000" w:rsidRPr="00000000">
        <w:rPr>
          <w:rtl w:val="0"/>
        </w:rPr>
        <w:t xml:space="preserve">Ziel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Das Statistische Bundesamt stellt die GENESIS-Online Datenbank mit vielen Informationen bereit, die Deutschland in Zahlen beschreibt. Mit Hilfe eines Dashboards sollen Daten aus unterschiedlichen Bereichen visualisiert werden.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Dabei wird sich auf die Hauptthemen “Bevölkerungszusammensetzung”, “Umwelt” und “Mobilität” konzentriert.</w:t>
      </w:r>
    </w:p>
    <w:p w:rsidR="00000000" w:rsidDel="00000000" w:rsidP="00000000" w:rsidRDefault="00000000" w:rsidRPr="00000000" w14:paraId="00000007">
      <w:pPr>
        <w:pStyle w:val="Heading2"/>
        <w:rPr>
          <w:color w:val="434343"/>
          <w:sz w:val="28"/>
          <w:szCs w:val="28"/>
        </w:rPr>
      </w:pPr>
      <w:bookmarkStart w:colFirst="0" w:colLast="0" w:name="_5ngpx2y0f0s3" w:id="3"/>
      <w:bookmarkEnd w:id="3"/>
      <w:r w:rsidDel="00000000" w:rsidR="00000000" w:rsidRPr="00000000">
        <w:rPr>
          <w:rtl w:val="0"/>
        </w:rPr>
        <w:t xml:space="preserve">Thema Bevölkerungszusammensetzung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Anhand von Indikatoren zur Bevölkerungszusammensetzung sollen graphisch folgende Themen gezeigt werden: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Altersverteilung in Deutschland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hd w:fill="ffffff" w:val="clear"/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Altersverteilung der deutschen Bevölkerung (2017-2021)</w:t>
      </w:r>
      <w:r w:rsidDel="00000000" w:rsidR="00000000" w:rsidRPr="00000000">
        <w:rPr>
          <w:rtl w:val="0"/>
        </w:rPr>
        <w:t xml:space="preserve"> Genesis Tabelle:12411-0005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Sterberate in Deutschland Genesis Tabelle: 12613-0002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Aus der Kombination der Altersverteilung, der Sterberaten und der Geburtenrate lassen sich Verläufe von Übersterblichkeit oder Geburtenüberschuss zeigen.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Geburtenrate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Lebendgeborene nach Monaten (2019 bis 2021)  Genesis Tabelle: 12612-0002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Haushalt und Familien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color w:val="333333"/>
          <w:shd w:fill="fefefe" w:val="clear"/>
          <w:rtl w:val="0"/>
        </w:rPr>
        <w:t xml:space="preserve">Erwerbstätigenquote</w:t>
      </w:r>
      <w:r w:rsidDel="00000000" w:rsidR="00000000" w:rsidRPr="00000000">
        <w:rPr>
          <w:color w:val="333333"/>
          <w:shd w:fill="fefefe" w:val="clear"/>
          <w:rtl w:val="0"/>
        </w:rPr>
        <w:t xml:space="preserve"> von Müttern und Vätern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Wanderung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Wanderungen über die Grenzen Deutschlands (2018 - 2023) Genesis Tabelle: 12711-0011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Eheschließung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Eheschließungen im Zeitverlauf Genesis Tabelle: 12611-0001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color w:val="333333"/>
          <w:shd w:fill="fefefe" w:val="clear"/>
          <w:rtl w:val="0"/>
        </w:rPr>
        <w:t xml:space="preserve">Zahl der gleichgeschlechtlichen Eheschließungen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u08ag4bcah66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ezne7xv1k017" w:id="5"/>
      <w:bookmarkEnd w:id="5"/>
      <w:r w:rsidDel="00000000" w:rsidR="00000000" w:rsidRPr="00000000">
        <w:rPr>
          <w:rtl w:val="0"/>
        </w:rPr>
        <w:t xml:space="preserve">Thema Umwelt und Luftemissionen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Mit Eurostat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Welche Schadstoffemissionen werden gemessen (GENESIS-Tabelle: 85111-0001)?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CO2, CH4, NO2O, NOx, SO2, NMVOC, NH3, Feinstaub(PM10), HFC, PFC und SF6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Gibt es einen Rückgang oder einen Anstieg im Laufe der Jahre? Können wir anhand von Regressionsgeraden zukünftige Entwicklungen vorhersagen?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Gibt es einen Zusammenhang zwischen weiteren Indikatoren?</w:t>
      </w:r>
    </w:p>
    <w:p w:rsidR="00000000" w:rsidDel="00000000" w:rsidP="00000000" w:rsidRDefault="00000000" w:rsidRPr="00000000" w14:paraId="0000001D">
      <w:pPr>
        <w:rPr>
          <w:color w:val="666666"/>
          <w:sz w:val="21"/>
          <w:szCs w:val="21"/>
          <w:shd w:fill="ededed" w:val="clear"/>
        </w:rPr>
      </w:pPr>
      <w:r w:rsidDel="00000000" w:rsidR="00000000" w:rsidRPr="00000000">
        <w:rPr>
          <w:color w:val="333333"/>
          <w:sz w:val="21"/>
          <w:szCs w:val="21"/>
          <w:shd w:fill="ededed" w:val="clear"/>
          <w:rtl w:val="0"/>
        </w:rPr>
        <w:t xml:space="preserve">Luftschadstoffe nach Quellsektoren aggregiert für Indikatorensätze (Quelle: EUA, Aggregierung durch Eurostat) </w:t>
      </w:r>
      <w:r w:rsidDel="00000000" w:rsidR="00000000" w:rsidRPr="00000000">
        <w:rPr>
          <w:color w:val="666666"/>
          <w:sz w:val="21"/>
          <w:szCs w:val="21"/>
          <w:shd w:fill="ededed" w:val="clear"/>
          <w:rtl w:val="0"/>
        </w:rPr>
        <w:t xml:space="preserve">(online Datencode: ENV_AIR_EMIS_IND )</w:t>
      </w:r>
    </w:p>
    <w:p w:rsidR="00000000" w:rsidDel="00000000" w:rsidP="00000000" w:rsidRDefault="00000000" w:rsidRPr="00000000" w14:paraId="0000001E">
      <w:pPr>
        <w:rPr>
          <w:color w:val="666666"/>
          <w:sz w:val="21"/>
          <w:szCs w:val="21"/>
          <w:shd w:fill="ededed" w:val="clear"/>
        </w:rPr>
      </w:pPr>
      <w:r w:rsidDel="00000000" w:rsidR="00000000" w:rsidRPr="00000000">
        <w:rPr>
          <w:color w:val="333333"/>
          <w:sz w:val="21"/>
          <w:szCs w:val="21"/>
          <w:shd w:fill="ededed" w:val="clear"/>
          <w:rtl w:val="0"/>
        </w:rPr>
        <w:t xml:space="preserve">Gesamtwirtschaftliche investitionen für den Umweltschutz </w:t>
      </w:r>
      <w:r w:rsidDel="00000000" w:rsidR="00000000" w:rsidRPr="00000000">
        <w:rPr>
          <w:color w:val="666666"/>
          <w:sz w:val="21"/>
          <w:szCs w:val="21"/>
          <w:shd w:fill="ededed" w:val="clear"/>
          <w:rtl w:val="0"/>
        </w:rPr>
        <w:t xml:space="preserve">(online Datencode: TEN00136 </w:t>
      </w:r>
    </w:p>
    <w:p w:rsidR="00000000" w:rsidDel="00000000" w:rsidP="00000000" w:rsidRDefault="00000000" w:rsidRPr="00000000" w14:paraId="0000001F">
      <w:pPr>
        <w:spacing w:after="120" w:lineRule="auto"/>
        <w:rPr>
          <w:rFonts w:ascii="Roboto" w:cs="Roboto" w:eastAsia="Roboto" w:hAnsi="Roboto"/>
          <w:color w:val="004494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4494"/>
          <w:sz w:val="36"/>
          <w:szCs w:val="36"/>
          <w:highlight w:val="white"/>
          <w:rtl w:val="0"/>
        </w:rPr>
        <w:t xml:space="preserve">Netto-Treibhausgasemissionen, nach Quellensektor (Quelle: EUA)</w:t>
      </w:r>
    </w:p>
    <w:p w:rsidR="00000000" w:rsidDel="00000000" w:rsidP="00000000" w:rsidRDefault="00000000" w:rsidRPr="00000000" w14:paraId="00000020">
      <w:pPr>
        <w:shd w:fill="ffffff" w:val="clear"/>
        <w:spacing w:line="458.1818181818182" w:lineRule="auto"/>
        <w:rPr>
          <w:rFonts w:ascii="Roboto" w:cs="Roboto" w:eastAsia="Roboto" w:hAnsi="Roboto"/>
          <w:color w:val="757575"/>
          <w:sz w:val="21"/>
          <w:szCs w:val="21"/>
          <w:shd w:fill="ededed" w:val="clear"/>
        </w:rPr>
      </w:pPr>
      <w:r w:rsidDel="00000000" w:rsidR="00000000" w:rsidRPr="00000000">
        <w:rPr>
          <w:rFonts w:ascii="Roboto" w:cs="Roboto" w:eastAsia="Roboto" w:hAnsi="Roboto"/>
          <w:color w:val="9e9e9e"/>
          <w:sz w:val="21"/>
          <w:szCs w:val="21"/>
          <w:shd w:fill="ededed" w:val="clear"/>
          <w:rtl w:val="0"/>
        </w:rPr>
        <w:t xml:space="preserve">Online Datencode:</w:t>
      </w:r>
      <w:r w:rsidDel="00000000" w:rsidR="00000000" w:rsidRPr="00000000">
        <w:rPr>
          <w:rFonts w:ascii="Roboto" w:cs="Roboto" w:eastAsia="Roboto" w:hAnsi="Roboto"/>
          <w:color w:val="757575"/>
          <w:sz w:val="21"/>
          <w:szCs w:val="21"/>
          <w:shd w:fill="ededed" w:val="clear"/>
          <w:rtl w:val="0"/>
        </w:rPr>
        <w:t xml:space="preserve">SDG_13_10</w:t>
      </w:r>
    </w:p>
    <w:p w:rsidR="00000000" w:rsidDel="00000000" w:rsidP="00000000" w:rsidRDefault="00000000" w:rsidRPr="00000000" w14:paraId="00000021">
      <w:pPr>
        <w:shd w:fill="ffffff" w:val="clear"/>
        <w:spacing w:line="458.1818181818182" w:lineRule="auto"/>
        <w:rPr>
          <w:rFonts w:ascii="Roboto" w:cs="Roboto" w:eastAsia="Roboto" w:hAnsi="Roboto"/>
          <w:color w:val="9e9e9e"/>
          <w:sz w:val="21"/>
          <w:szCs w:val="21"/>
          <w:shd w:fill="eded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666666"/>
          <w:sz w:val="21"/>
          <w:szCs w:val="21"/>
          <w:shd w:fill="eded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Weitere Indikatoren, die für eine Korrelation untersucht werden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Bevölkerung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BIP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Industrialisierung / Agrarwirtschaft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Güterverkehr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Flächennutzung (GENESIS-Tabelle: 33111-0001)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Investitionen in Umweltschutz (Tabelle 85411)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Gibt es auffällige Änderungen durch Entscheidungen (z.B. Gesetze), die sichtbar werden?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Existieren solche Informationen?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i w:val="1"/>
          <w:rtl w:val="0"/>
        </w:rPr>
        <w:t xml:space="preserve">Optional: </w:t>
      </w:r>
      <w:r w:rsidDel="00000000" w:rsidR="00000000" w:rsidRPr="00000000">
        <w:rPr>
          <w:rtl w:val="0"/>
        </w:rPr>
        <w:t xml:space="preserve">Echtzeit- bzw. tagesaktuelle (Satelitten-)Werte für Luftschadstoffe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ijrvn2h09q8m" w:id="6"/>
      <w:bookmarkEnd w:id="6"/>
      <w:r w:rsidDel="00000000" w:rsidR="00000000" w:rsidRPr="00000000">
        <w:rPr>
          <w:rtl w:val="0"/>
        </w:rPr>
        <w:t xml:space="preserve">Thema Mobilität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 Mobilitätsbereich wird der Fokus auf den Güter-Landverkehr gelegt. Mehrere Statistiken können im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Thema 4 “Wirtschaftsbereiche” &gt; 46 “Transport und Verkehr”</w:t>
        </w:r>
      </w:hyperlink>
      <w:r w:rsidDel="00000000" w:rsidR="00000000" w:rsidRPr="00000000">
        <w:rPr>
          <w:rtl w:val="0"/>
        </w:rPr>
        <w:t xml:space="preserve"> abgerufen werden. Im Rahmen dieser Arbeit </w:t>
      </w:r>
      <w:r w:rsidDel="00000000" w:rsidR="00000000" w:rsidRPr="00000000">
        <w:rPr>
          <w:rtl w:val="0"/>
        </w:rPr>
        <w:t xml:space="preserve">werden die Verkehrsträger Schiene (46131 Güterverkehrsstatistik der Eisenbahn) und Straße (46231 Straßengüterverkehrsstatistik) einzeln sowie in Kombination miteinander dargestellt. Damit sollen zeitliche Entwicklungen zum Beispiel im Binnen- und grenzüberschreitenden Verkehr aufgezeigt werden.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 hat sich innerhalb Deutschlands die beförderte Gütermenge (t = Tonnen) in den vergangenen 10 Jahren entwickelt?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Welche Beförderungsleistungen (tkm = Tonnenkilometer) wurden von 2010-2020 auf der Schiene bzw. der Straße grenzüberschreitend empfangen bzw. versendet?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 einem weiteren Schritt wird die Statistik aus dem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Thema 8 “Gesamtrechnungen” &gt; 81 Volkswirtschaftliche Gesamtrechnungen des Bundes”</w:t>
        </w:r>
      </w:hyperlink>
      <w:r w:rsidDel="00000000" w:rsidR="00000000" w:rsidRPr="00000000">
        <w:rPr>
          <w:rtl w:val="0"/>
        </w:rPr>
        <w:t xml:space="preserve"> herangezogen. Mit der Beschreibung der wirtschaftlichen Entwicklung Deutschlands über die vergangenen 30 Jahre (1991-2022) liegt der größte Datensatz vor. Hierfür lassen sich Aussagen z.B. zur Entwicklung der Bruttowertschöpfung, der Gütersteuern oder des Bruttoinlandsproduktes treffen.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hoch war das Wirtschaftswachstum im Zeitraum 1991-2019?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Welche prozentuale Veränderungsrate war während der Jahre 2020 und 2021 zu verzeichnen?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 letzten Schritt sollen mögliche Zusammenhänge z.B. zwischen Gütermenge und Bruttoinlandsprodukt aufgezeigt werden. Aufgrund unterschiedlich langer Zeiträume 2005-2022 (Güterverkehr) und 1995-2022 (Straßenverkehr) wird die Aussagekraft hinsichtlich einer Zeitreihenanalyse beschränkt.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Lässt sich eine Korrelation zwischen transportierter Gütermenge und Wirtschaftswachstum darstellen?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Gibt es einen zeitlichen Versatz und wenn ja, wie hoch ist dieser?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Indikatoren: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Güterverkehr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GENESIS-Tabelle: 46231-0001 Beförderte Gütermenge und Beförderungsleistung (Straßengüterverkehr): Deutschland, Jahre, Verkehrswege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GENESIS-Tabelle: 46131-0003 Beförderte Güter, Beförderungsleistung (Eisenbahngüterverkehr): Deutschland, Jahre, Hauptverkehrsbeziehungen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Wertschöpfung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GENESIS-Tabelle: 81000-0001 VGR des Bundes - Bruttowertschöpfung, Bruttoinlandsprodukt (nominal/preisbereinigt): Deutschland, Jahre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9ufgr540zqq4" w:id="7"/>
      <w:bookmarkEnd w:id="7"/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Das Dashboard soll für jedes Hauptthema einen einzelnen Reiter/Tab haben, der durch einen Button angewählt wird. Auf jedem Tab befinden sich unterschiedliche Diagramme, aber mindestens soll der zeitliche Verlauf sowie die Tabelle mit den dazugehörigen Daten dargestellt werden.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xhkpaszcovc" w:id="8"/>
      <w:bookmarkEnd w:id="8"/>
      <w:r w:rsidDel="00000000" w:rsidR="00000000" w:rsidRPr="00000000">
        <w:rPr>
          <w:rtl w:val="0"/>
        </w:rPr>
        <w:t xml:space="preserve">Aufgabenverteilung und Zeitplan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ubwqqg7t5q3w" w:id="9"/>
      <w:bookmarkEnd w:id="9"/>
      <w:r w:rsidDel="00000000" w:rsidR="00000000" w:rsidRPr="00000000">
        <w:rPr>
          <w:rtl w:val="0"/>
        </w:rPr>
        <w:t xml:space="preserve">Montag, den 12.06.2023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Erstellung Ziele, Aufgaben, Zeitplan der Projektarbeit “</w:t>
      </w:r>
      <w:r w:rsidDel="00000000" w:rsidR="00000000" w:rsidRPr="00000000">
        <w:rPr>
          <w:rtl w:val="0"/>
        </w:rPr>
        <w:t xml:space="preserve">Statistiken über Deutschland”, Esra Aciksöz Werner, Alexander Warmbold, Kapila Kasam, Marcus Köbe, Nour-Eddine Kzaiber, Peter Thul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z0eei89d1oxt" w:id="10"/>
      <w:bookmarkEnd w:id="10"/>
      <w:r w:rsidDel="00000000" w:rsidR="00000000" w:rsidRPr="00000000">
        <w:rPr>
          <w:rtl w:val="0"/>
        </w:rPr>
        <w:t xml:space="preserve">Dienstag, den 13.06.2023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Datenbeschaffung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“Bevölkerungszusammensetzung”, Esra Aciksöz Werner, Kapila Kasam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“Umwelt und Luftemissionen”, Peter Thul, Nour-Eddine Kzaiber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“Mobilität”, Marcus Köbe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Datensichtung und Datenbereinigung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“Bevölkerungszusammensetzung”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Esra Aciksöz Werner, Kapila Kasam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“Umwelt und Luftemissionen”, Peter Thul, Nour-Eddine Kzaiber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“Mobilität”, Marcus Köbe, Nour-Eddine Kzaiber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Beginn graphische Darstellung der Daten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“Bevölkerungszusammensetzung”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Esra Aciksöz Werner, Kapila Kasam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“Umwelt und Luftemissionen”, Peter Thul, Nour-Eddine Kzaiber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“Mobilität”, Marcus Köbe, Nour-Eddine Kzaiber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Erzeugung Layout Dashboard; Alexander Warmbold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yyj8bohxtax" w:id="11"/>
      <w:bookmarkEnd w:id="11"/>
      <w:r w:rsidDel="00000000" w:rsidR="00000000" w:rsidRPr="00000000">
        <w:rPr>
          <w:rtl w:val="0"/>
        </w:rPr>
        <w:t xml:space="preserve">Mittwoch, den 14.06.2023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Finalisierung der graphischen Darstellung der Daten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“Bevölkerungszusammensetzung”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Esra Aciksöz Werner, Kapila Kasam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“Umwelt und Luftemissionen”, Peter Thul, Nour-Eddine Kzaiber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“Mobilität”, Marcus Köbe, Nour-Eddine Kzaiber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Erstellung von Modellen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“Umwelt und Luftemissionen”, Peter Thul, Nour-Eddine Kzaiber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“Mobilität”, Marcus Köbe, Nour-Eddine Kzaiber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Beginn der Programmierung des Dashboards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“Template”, Alexander Warmbold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“Bevölkerungszusammensetzung”, Alexander Warmbold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l408fg2urkwe" w:id="12"/>
      <w:bookmarkEnd w:id="12"/>
      <w:r w:rsidDel="00000000" w:rsidR="00000000" w:rsidRPr="00000000">
        <w:rPr>
          <w:rtl w:val="0"/>
        </w:rPr>
        <w:t xml:space="preserve">Donnerstag, den 15.06.2023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Finalisierung Modelle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“Umwelt und Luftemissionen”, Peter Thul, Nour-Eddine Kzaiber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“Mobilität”, Marcus Köbe, Nour-Eddine Kzaiber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Finalisierung der Programmierung des Dashboards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“Bevölkerungszusammensetzung”, Alexander Warmbold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“Umwelt und Luftemissionen”, Peter Thul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“Mobilität”, Marcus Köbe, Nour-Eddine Kzaiber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Zusammenführen der Bestandteile des Dashboards, </w:t>
      </w:r>
      <w:r w:rsidDel="00000000" w:rsidR="00000000" w:rsidRPr="00000000">
        <w:rPr>
          <w:rtl w:val="0"/>
        </w:rPr>
        <w:t xml:space="preserve">Alexander Warmbold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Testen des Dashboards und letzte Korrekturen, Kapila Kasam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Vorbereitung der Präsentation, Esra Aciksöz Werner, Alexander Warmbold, Kapila Kasam, Marcus Köbe, Nour-Eddine Kzaiber, Peter Thul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la675v4cqj3l" w:id="13"/>
      <w:bookmarkEnd w:id="13"/>
      <w:r w:rsidDel="00000000" w:rsidR="00000000" w:rsidRPr="00000000">
        <w:rPr>
          <w:rtl w:val="0"/>
        </w:rPr>
        <w:t xml:space="preserve">Freitag, den 16.06.2023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Präsentation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“Aufbau Dashboard”, Alexander Warmbold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“Datacleaning”, Nour-Eddine Kzaiber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“Bevölkerungszusammensetzung”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Esra Aciksöz Werner und Kapila Kasam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“Umwelt und Luftemissionen”, Peter Thul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“Mobilität”, </w:t>
      </w:r>
      <w:r w:rsidDel="00000000" w:rsidR="00000000" w:rsidRPr="00000000">
        <w:rPr>
          <w:rtl w:val="0"/>
        </w:rPr>
        <w:t xml:space="preserve">Marcus</w:t>
      </w:r>
      <w:r w:rsidDel="00000000" w:rsidR="00000000" w:rsidRPr="00000000">
        <w:rPr>
          <w:rtl w:val="0"/>
        </w:rPr>
        <w:t xml:space="preserve"> Köbe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-genesis.destatis.de/genesis/online?operation=themes&amp;levelindex=0&amp;levelid=1686556437026&amp;code=46#abreadcrumb" TargetMode="External"/><Relationship Id="rId7" Type="http://schemas.openxmlformats.org/officeDocument/2006/relationships/hyperlink" Target="https://www-genesis.destatis.de/genesis/online?operation=themes&amp;levelindex=1&amp;levelid=1686557963841&amp;code=81#abreadcrum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