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FA" w:rsidRDefault="00646CFA" w:rsidP="0064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006B7BE" wp14:editId="6CC3A998">
            <wp:extent cx="5734050" cy="3048000"/>
            <wp:effectExtent l="0" t="0" r="0" b="0"/>
            <wp:docPr id="7" name="image3.png" descr="https://lh5.googleusercontent.com/eporZjVPEme1C4a4lhl3p04RvrNK20OrS8Yam-zcDaR2u6gf3xbJx025mXadyq73_kJjMN_HCUIloLttYuFFw_gaQQHPoo_hTU-pkMkCCflKMlsOX91JDxWbWoL9A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5.googleusercontent.com/eporZjVPEme1C4a4lhl3p04RvrNK20OrS8Yam-zcDaR2u6gf3xbJx025mXadyq73_kJjMN_HCUIloLttYuFFw_gaQQHPoo_hTU-pkMkCCflKMlsOX91JDxWbWoL9AQ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FA" w:rsidRDefault="00646CFA" w:rsidP="00646CFA">
      <w:pPr>
        <w:spacing w:after="0" w:line="240" w:lineRule="auto"/>
        <w:rPr>
          <w:color w:val="000000"/>
        </w:rPr>
      </w:pPr>
      <w:r>
        <w:rPr>
          <w:color w:val="000000"/>
        </w:rPr>
        <w:t>Figure S</w:t>
      </w:r>
      <w:r>
        <w:t>3</w:t>
      </w:r>
      <w:r>
        <w:rPr>
          <w:color w:val="000000"/>
        </w:rPr>
        <w:t>. BioHansel runtime per 1000 genome assemblies on one core using different schemes in a high performance computer cluster environment.  Each data point represents an average of at least 8 experiments for each serovar.</w:t>
      </w:r>
    </w:p>
    <w:p w:rsidR="00C963C8" w:rsidRPr="00646CFA" w:rsidRDefault="00C963C8">
      <w:pPr>
        <w:rPr>
          <w:color w:val="000000"/>
        </w:rPr>
      </w:pPr>
      <w:bookmarkStart w:id="0" w:name="_GoBack"/>
      <w:bookmarkEnd w:id="0"/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278D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1</cp:revision>
  <dcterms:created xsi:type="dcterms:W3CDTF">2019-12-18T20:25:00Z</dcterms:created>
  <dcterms:modified xsi:type="dcterms:W3CDTF">2019-12-18T20:25:00Z</dcterms:modified>
</cp:coreProperties>
</file>