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cx-smoke-heading"/>
    <w:p>
      <w:pPr>
        <w:pStyle w:val="Heading1"/>
      </w:pPr>
      <w:r>
        <w:t xml:space="preserve">DOCX smoke heading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varugrupp</w:t>
            </w:r>
          </w:p>
        </w:tc>
        <w:tc>
          <w:tcPr/>
          <w:p>
            <w:pPr>
              <w:pStyle w:val="Compact"/>
            </w:pPr>
            <w:r>
              <w:t xml:space="preserve">år</w:t>
            </w:r>
          </w:p>
        </w:tc>
        <w:tc>
          <w:tcPr/>
          <w:p>
            <w:pPr>
              <w:pStyle w:val="Compact"/>
            </w:pPr>
            <w:r>
              <w:t xml:space="preserve">Försäljning (inkl moms) av ekologiska livsmedel och alkoholfria drycker inom handeln (enligt COICOP), löpande priser, mnkr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01.1.1 spannmål och spannmålsprodukter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01.1.1 spannmål och spannmålsprodukter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01.1.2 kött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01.1.2 kött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01.1.3 fisk och skaldjur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01.1.3 fisk och skaldjur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5622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01.1.4 mjölk, andra mejeriprodukter och ägg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3043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01.1.4 mjölk, andra mejeriprodukter och ägg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01.1.5 oljor och fetter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01.1.5 oljor och fetter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561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01.1.6 frukter och nötter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3180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01.1.6 frukter och nötter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01.1.7 grönsaker, rotfrukter och baljväxter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2387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01.1.7 grönsaker, rotfrukter och baljväxter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01.1.8 socker, konfektyr och efterrätter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1450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01.1.8 socker, konfektyr och efterrätter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1497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01.1.9 färdigmat och andra livsmedelsprodukter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01.1.9 färdigmat och andra livsmedelsprodukter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01.2.1 frukt- och grönsaksjuicer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01.2.1 frukt- och grönsaksjuicer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01.2.2 kaffe och kaffesurrogat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01.2.2 kaffe och kaffesurrogat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01.2.3 te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01.2.3 te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01.2.5 vatten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01.2.5 vatten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01.2.6 läskedrycker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01.2.6 läskedrycker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01.2.9 andra alkoholfria drycker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01.2.9 andra alkoholfria drycker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02.1.1 spritdrycker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02.1.1 spritdrycker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02.1.2 vin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02.1.2 vin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02.1.3 öl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02.1.3 öl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..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2026-08-12T20:19:09Z</dcterms:created>
  <dcterms:modified xsi:type="dcterms:W3CDTF">2026-08-12T20:19:09Z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