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C8963E"/>
          <w:sz w:val="52"/>
          <w:szCs w:val="52"/>
        </w:rPr>
        <w:t xml:space="preserve">REWARDOLOGY ACADEMY</w:t>
      </w:r>
    </w:p>
    <w:p>
      <w:pPr>
        <w:spacing w:after="120" w:before="0"/>
        <w:jc w:val="center"/>
      </w:pPr>
      <w:r>
        <w:rPr>
          <w:rFonts w:ascii="Arial" w:cs="Arial" w:eastAsia="Arial" w:hAnsi="Arial"/>
          <w:b/>
          <w:bCs/>
          <w:color w:val="1A1A1A"/>
          <w:sz w:val="40"/>
          <w:szCs w:val="40"/>
        </w:rPr>
        <w:t xml:space="preserve">Daily Quiz Question Bank — Volume 3</w:t>
      </w:r>
    </w:p>
    <w:p>
      <w:pPr>
        <w:spacing w:after="80" w:before="0"/>
        <w:jc w:val="center"/>
      </w:pPr>
      <w:r>
        <w:rPr>
          <w:rFonts w:ascii="Arial" w:cs="Arial" w:eastAsia="Arial" w:hAnsi="Arial"/>
          <w:i/>
          <w:iCs/>
          <w:color w:val="555555"/>
          <w:sz w:val="24"/>
          <w:szCs w:val="24"/>
        </w:rPr>
        <w:t xml:space="preserve">105 New Questions  ·  Balanced A/B/C/D Distribution  ·  9 Total Rewards Topics</w:t>
      </w:r>
    </w:p>
    <w:p>
      <w:pPr>
        <w:spacing w:after="80" w:before="0"/>
        <w:jc w:val="center"/>
      </w:pPr>
      <w:r>
        <w:rPr>
          <w:rFonts w:ascii="Arial" w:cs="Arial" w:eastAsia="Arial" w:hAnsi="Arial"/>
          <w:color w:val="777777"/>
          <w:sz w:val="20"/>
          <w:szCs w:val="20"/>
        </w:rPr>
        <w:t xml:space="preserve">Answer distribution: A = 27  |  B = 26  |  C = 26  |  D = 26</w:t>
      </w:r>
    </w:p>
    <w:p>
      <w:pPr>
        <w:pBdr>
          <w:bottom w:val="single" w:color="C8963E" w:sz="8" w:space="4"/>
        </w:pBdr>
        <w:spacing w:after="280" w:before="280"/>
      </w:pPr>
      <w:r>
        <w:t xml:space="preserve"/>
      </w:r>
    </w:p>
    <w:p>
      <w:pPr>
        <w:spacing w:after="180" w:before="200"/>
      </w:pPr>
      <w:r>
        <w:rPr>
          <w:rFonts w:ascii="Arial" w:cs="Arial" w:eastAsia="Arial" w:hAnsi="Arial"/>
          <w:b/>
          <w:bCs/>
          <w:color w:val="1A1A1A"/>
          <w:sz w:val="28"/>
          <w:szCs w:val="28"/>
        </w:rPr>
        <w:t xml:space="preserve">Topic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800"/>
        <w:gridCol w:w="1800"/>
        <w:gridCol w:w="1120"/>
      </w:tblGrid>
      <w:tr>
        <w:tc>
          <w:tcPr>
            <w:tcW w:type="dxa" w:w="640"/>
            <w:tcBorders>
              <w:top w:val="single" w:color="E5E5E5" w:sz="4"/>
              <w:left w:val="single" w:color="E5E5E5" w:sz="4"/>
              <w:bottom w:val="single" w:color="E5E5E5" w:sz="4"/>
              <w:right w:val="single" w:color="E5E5E5" w:sz="4"/>
            </w:tcBorders>
            <w:shd w:fill="C8963E"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1</w:t>
            </w:r>
          </w:p>
        </w:tc>
        <w:tc>
          <w:tcPr>
            <w:tcW w:type="dxa" w:w="58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Total Rewards Fundamentals</w:t>
            </w:r>
          </w:p>
        </w:tc>
        <w:tc>
          <w:tcPr>
            <w:tcW w:type="dxa" w:w="18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Q1 – Q12</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12 Qs</w:t>
            </w:r>
          </w:p>
        </w:tc>
      </w:tr>
      <w:tr>
        <w:tc>
          <w:tcPr>
            <w:tcW w:type="dxa" w:w="640"/>
            <w:tcBorders>
              <w:top w:val="single" w:color="E5E5E5" w:sz="4"/>
              <w:left w:val="single" w:color="E5E5E5" w:sz="4"/>
              <w:bottom w:val="single" w:color="E5E5E5" w:sz="4"/>
              <w:right w:val="single" w:color="E5E5E5" w:sz="4"/>
            </w:tcBorders>
            <w:shd w:fill="2E7D8C"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2</w:t>
            </w:r>
          </w:p>
        </w:tc>
        <w:tc>
          <w:tcPr>
            <w:tcW w:type="dxa" w:w="58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Compensation Design</w:t>
            </w:r>
          </w:p>
        </w:tc>
        <w:tc>
          <w:tcPr>
            <w:tcW w:type="dxa" w:w="18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Q13 – Q24</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12 Qs</w:t>
            </w:r>
          </w:p>
        </w:tc>
      </w:tr>
      <w:tr>
        <w:tc>
          <w:tcPr>
            <w:tcW w:type="dxa" w:w="640"/>
            <w:tcBorders>
              <w:top w:val="single" w:color="E5E5E5" w:sz="4"/>
              <w:left w:val="single" w:color="E5E5E5" w:sz="4"/>
              <w:bottom w:val="single" w:color="E5E5E5" w:sz="4"/>
              <w:right w:val="single" w:color="E5E5E5" w:sz="4"/>
            </w:tcBorders>
            <w:shd w:fill="B84B4B"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3</w:t>
            </w:r>
          </w:p>
        </w:tc>
        <w:tc>
          <w:tcPr>
            <w:tcW w:type="dxa" w:w="58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Pay Equity</w:t>
            </w:r>
          </w:p>
        </w:tc>
        <w:tc>
          <w:tcPr>
            <w:tcW w:type="dxa" w:w="18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Q25 – Q36</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12 Qs</w:t>
            </w:r>
          </w:p>
        </w:tc>
      </w:tr>
      <w:tr>
        <w:tc>
          <w:tcPr>
            <w:tcW w:type="dxa" w:w="640"/>
            <w:tcBorders>
              <w:top w:val="single" w:color="E5E5E5" w:sz="4"/>
              <w:left w:val="single" w:color="E5E5E5" w:sz="4"/>
              <w:bottom w:val="single" w:color="E5E5E5" w:sz="4"/>
              <w:right w:val="single" w:color="E5E5E5" w:sz="4"/>
            </w:tcBorders>
            <w:shd w:fill="6B4C9A"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4</w:t>
            </w:r>
          </w:p>
        </w:tc>
        <w:tc>
          <w:tcPr>
            <w:tcW w:type="dxa" w:w="58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Job Evaluation &amp; Market Pricing</w:t>
            </w:r>
          </w:p>
        </w:tc>
        <w:tc>
          <w:tcPr>
            <w:tcW w:type="dxa" w:w="18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Q37 – Q48</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12 Qs</w:t>
            </w:r>
          </w:p>
        </w:tc>
      </w:tr>
      <w:tr>
        <w:tc>
          <w:tcPr>
            <w:tcW w:type="dxa" w:w="640"/>
            <w:tcBorders>
              <w:top w:val="single" w:color="E5E5E5" w:sz="4"/>
              <w:left w:val="single" w:color="E5E5E5" w:sz="4"/>
              <w:bottom w:val="single" w:color="E5E5E5" w:sz="4"/>
              <w:right w:val="single" w:color="E5E5E5" w:sz="4"/>
            </w:tcBorders>
            <w:shd w:fill="3A7D44"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5</w:t>
            </w:r>
          </w:p>
        </w:tc>
        <w:tc>
          <w:tcPr>
            <w:tcW w:type="dxa" w:w="58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Benefits &amp; Wellbeing</w:t>
            </w:r>
          </w:p>
        </w:tc>
        <w:tc>
          <w:tcPr>
            <w:tcW w:type="dxa" w:w="18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Q49 – Q60</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12 Qs</w:t>
            </w:r>
          </w:p>
        </w:tc>
      </w:tr>
      <w:tr>
        <w:tc>
          <w:tcPr>
            <w:tcW w:type="dxa" w:w="640"/>
            <w:tcBorders>
              <w:top w:val="single" w:color="E5E5E5" w:sz="4"/>
              <w:left w:val="single" w:color="E5E5E5" w:sz="4"/>
              <w:bottom w:val="single" w:color="E5E5E5" w:sz="4"/>
              <w:right w:val="single" w:color="E5E5E5" w:sz="4"/>
            </w:tcBorders>
            <w:shd w:fill="C8963E"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6</w:t>
            </w:r>
          </w:p>
        </w:tc>
        <w:tc>
          <w:tcPr>
            <w:tcW w:type="dxa" w:w="58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Variable Pay &amp; Incentives</w:t>
            </w:r>
          </w:p>
        </w:tc>
        <w:tc>
          <w:tcPr>
            <w:tcW w:type="dxa" w:w="18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Q61 – Q72</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12 Qs</w:t>
            </w:r>
          </w:p>
        </w:tc>
      </w:tr>
      <w:tr>
        <w:tc>
          <w:tcPr>
            <w:tcW w:type="dxa" w:w="640"/>
            <w:tcBorders>
              <w:top w:val="single" w:color="E5E5E5" w:sz="4"/>
              <w:left w:val="single" w:color="E5E5E5" w:sz="4"/>
              <w:bottom w:val="single" w:color="E5E5E5" w:sz="4"/>
              <w:right w:val="single" w:color="E5E5E5" w:sz="4"/>
            </w:tcBorders>
            <w:shd w:fill="2E7D8C"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7</w:t>
            </w:r>
          </w:p>
        </w:tc>
        <w:tc>
          <w:tcPr>
            <w:tcW w:type="dxa" w:w="58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Pay Transparency &amp; Communication</w:t>
            </w:r>
          </w:p>
        </w:tc>
        <w:tc>
          <w:tcPr>
            <w:tcW w:type="dxa" w:w="18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Q73 – Q83</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11 Qs</w:t>
            </w:r>
          </w:p>
        </w:tc>
      </w:tr>
      <w:tr>
        <w:tc>
          <w:tcPr>
            <w:tcW w:type="dxa" w:w="640"/>
            <w:tcBorders>
              <w:top w:val="single" w:color="E5E5E5" w:sz="4"/>
              <w:left w:val="single" w:color="E5E5E5" w:sz="4"/>
              <w:bottom w:val="single" w:color="E5E5E5" w:sz="4"/>
              <w:right w:val="single" w:color="E5E5E5" w:sz="4"/>
            </w:tcBorders>
            <w:shd w:fill="B84B4B"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8</w:t>
            </w:r>
          </w:p>
        </w:tc>
        <w:tc>
          <w:tcPr>
            <w:tcW w:type="dxa" w:w="58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Executive Compensation &amp; Global Rewards</w:t>
            </w:r>
          </w:p>
        </w:tc>
        <w:tc>
          <w:tcPr>
            <w:tcW w:type="dxa" w:w="18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Q84 – Q93</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10 Qs</w:t>
            </w:r>
          </w:p>
        </w:tc>
      </w:tr>
      <w:tr>
        <w:tc>
          <w:tcPr>
            <w:tcW w:type="dxa" w:w="640"/>
            <w:tcBorders>
              <w:top w:val="single" w:color="E5E5E5" w:sz="4"/>
              <w:left w:val="single" w:color="E5E5E5" w:sz="4"/>
              <w:bottom w:val="single" w:color="E5E5E5" w:sz="4"/>
              <w:right w:val="single" w:color="E5E5E5" w:sz="4"/>
            </w:tcBorders>
            <w:shd w:fill="6B4C9A" w:val="clear"/>
            <w:tcMar>
              <w:top w:type="dxa" w:w="80"/>
              <w:left w:type="dxa" w:w="120"/>
              <w:bottom w:type="dxa" w:w="80"/>
              <w:right w:type="dxa" w:w="80"/>
            </w:tcMar>
          </w:tcPr>
          <w:p>
            <w:pPr>
              <w:jc w:val="center"/>
            </w:pPr>
            <w:r>
              <w:rPr>
                <w:rFonts w:ascii="Arial" w:cs="Arial" w:eastAsia="Arial" w:hAnsi="Arial"/>
                <w:b/>
                <w:bCs/>
                <w:color w:val="FFFFFF"/>
                <w:sz w:val="22"/>
                <w:szCs w:val="22"/>
              </w:rPr>
              <w:t xml:space="preserve">9</w:t>
            </w:r>
          </w:p>
        </w:tc>
        <w:tc>
          <w:tcPr>
            <w:tcW w:type="dxa" w:w="5800"/>
            <w:tcBorders>
              <w:top w:val="single" w:color="E5E5E5" w:sz="4"/>
              <w:left w:val="single" w:color="E5E5E5" w:sz="4"/>
              <w:bottom w:val="single" w:color="E5E5E5" w:sz="4"/>
              <w:right w:val="single" w:color="E5E5E5" w:sz="4"/>
            </w:tcBorders>
            <w:tcMar>
              <w:top w:type="dxa" w:w="80"/>
              <w:left w:type="dxa" w:w="160"/>
              <w:bottom w:type="dxa" w:w="80"/>
              <w:right w:type="dxa" w:w="80"/>
            </w:tcMar>
          </w:tcPr>
          <w:p>
            <w:r>
              <w:rPr>
                <w:rFonts w:ascii="Arial" w:cs="Arial" w:eastAsia="Arial" w:hAnsi="Arial"/>
                <w:b/>
                <w:bCs/>
                <w:color w:val="1A1A1A"/>
                <w:sz w:val="22"/>
                <w:szCs w:val="22"/>
              </w:rPr>
              <w:t xml:space="preserve">HR Analytics for Total Rewards</w:t>
            </w:r>
          </w:p>
        </w:tc>
        <w:tc>
          <w:tcPr>
            <w:tcW w:type="dxa" w:w="1800"/>
            <w:tcBorders>
              <w:top w:val="single" w:color="E5E5E5" w:sz="4"/>
              <w:left w:val="single" w:color="E5E5E5" w:sz="4"/>
              <w:bottom w:val="single" w:color="E5E5E5" w:sz="4"/>
              <w:right w:val="single" w:color="E5E5E5" w:sz="4"/>
            </w:tcBorders>
            <w:tcMar>
              <w:top w:type="dxa" w:w="80"/>
              <w:left w:type="dxa" w:w="80"/>
              <w:bottom w:type="dxa" w:w="80"/>
              <w:right w:type="dxa" w:w="80"/>
            </w:tcMar>
          </w:tcPr>
          <w:p>
            <w:pPr>
              <w:jc w:val="center"/>
            </w:pPr>
            <w:r>
              <w:rPr>
                <w:rFonts w:ascii="Arial" w:cs="Arial" w:eastAsia="Arial" w:hAnsi="Arial"/>
                <w:color w:val="333333"/>
                <w:sz w:val="20"/>
                <w:szCs w:val="20"/>
              </w:rPr>
              <w:t xml:space="preserve">Q94 – Q105</w:t>
            </w:r>
          </w:p>
        </w:tc>
        <w:tc>
          <w:tcPr>
            <w:tcW w:type="dxa" w:w="1120"/>
            <w:tcBorders>
              <w:top w:val="single" w:color="E5E5E5" w:sz="4"/>
              <w:left w:val="single" w:color="E5E5E5" w:sz="4"/>
              <w:bottom w:val="single" w:color="E5E5E5" w:sz="4"/>
              <w:right w:val="single" w:color="E5E5E5" w:sz="4"/>
            </w:tcBorders>
            <w:tcMar>
              <w:top w:type="dxa" w:w="80"/>
              <w:left w:type="dxa" w:w="80"/>
              <w:bottom w:type="dxa" w:w="80"/>
              <w:right w:type="dxa" w:w="120"/>
            </w:tcMar>
          </w:tcPr>
          <w:p>
            <w:pPr>
              <w:jc w:val="center"/>
            </w:pPr>
            <w:r>
              <w:rPr>
                <w:rFonts w:ascii="Arial" w:cs="Arial" w:eastAsia="Arial" w:hAnsi="Arial"/>
                <w:color w:val="555555"/>
                <w:sz w:val="20"/>
                <w:szCs w:val="20"/>
              </w:rPr>
              <w:t xml:space="preserve">12 Qs</w:t>
            </w:r>
          </w:p>
        </w:tc>
      </w:tr>
    </w:tbl>
    <w:p>
      <w:pPr>
        <w:spacing w:after="240" w:before="0"/>
      </w:pPr>
      <w:r>
        <w:t xml:space="preserve"/>
      </w:r>
    </w:p>
    <w:p>
      <w:pPr>
        <w:spacing w:after="100" w:before="0"/>
      </w:pPr>
      <w:r>
        <w:rPr>
          <w:rFonts w:ascii="Arial" w:cs="Arial" w:eastAsia="Arial" w:hAnsi="Arial"/>
          <w:b/>
          <w:bCs/>
          <w:color w:val="1A1A1A"/>
          <w:sz w:val="24"/>
          <w:szCs w:val="24"/>
        </w:rPr>
        <w:t xml:space="preserve">Volume 3 Notes</w:t>
      </w:r>
    </w:p>
    <w:p>
      <w:pPr>
        <w:pStyle w:val="ListParagraph"/>
        <w:numPr>
          <w:ilvl w:val="0"/>
          <w:numId w:val="2"/>
        </w:numPr>
        <w:spacing w:after="40" w:before="40"/>
      </w:pPr>
      <w:r>
        <w:rPr>
          <w:rFonts w:ascii="Arial" w:cs="Arial" w:eastAsia="Arial" w:hAnsi="Arial"/>
          <w:color w:val="333333"/>
          <w:sz w:val="20"/>
          <w:szCs w:val="20"/>
        </w:rPr>
        <w:t xml:space="preserve">All 105 questions are brand new — no repeats from Volumes 1 or 2.</w:t>
      </w:r>
    </w:p>
    <w:p>
      <w:pPr>
        <w:pStyle w:val="ListParagraph"/>
        <w:numPr>
          <w:ilvl w:val="0"/>
          <w:numId w:val="2"/>
        </w:numPr>
        <w:spacing w:after="40" w:before="40"/>
      </w:pPr>
      <w:r>
        <w:rPr>
          <w:rFonts w:ascii="Arial" w:cs="Arial" w:eastAsia="Arial" w:hAnsi="Arial"/>
          <w:color w:val="333333"/>
          <w:sz w:val="20"/>
          <w:szCs w:val="20"/>
        </w:rPr>
        <w:t xml:space="preserve">Volume 3 covers advanced and specialist topics: pay equity governance, executive compensation governance, global mobility, benefits strategy, incentive design depth, and analytics.</w:t>
      </w:r>
    </w:p>
    <w:p>
      <w:pPr>
        <w:pStyle w:val="ListParagraph"/>
        <w:numPr>
          <w:ilvl w:val="0"/>
          <w:numId w:val="2"/>
        </w:numPr>
        <w:spacing w:after="40" w:before="40"/>
      </w:pPr>
      <w:r>
        <w:rPr>
          <w:rFonts w:ascii="Arial" w:cs="Arial" w:eastAsia="Arial" w:hAnsi="Arial"/>
          <w:color w:val="333333"/>
          <w:sz w:val="20"/>
          <w:szCs w:val="20"/>
        </w:rPr>
        <w:t xml:space="preserve">Correct answer positions are precisely balanced: 27 questions answered A, 26 answered B, 26 answered C, 26 answered D.</w:t>
      </w:r>
    </w:p>
    <w:p>
      <w:pPr>
        <w:pStyle w:val="ListParagraph"/>
        <w:numPr>
          <w:ilvl w:val="0"/>
          <w:numId w:val="2"/>
        </w:numPr>
        <w:spacing w:after="40" w:before="40"/>
      </w:pPr>
      <w:r>
        <w:rPr>
          <w:rFonts w:ascii="Arial" w:cs="Arial" w:eastAsia="Arial" w:hAnsi="Arial"/>
          <w:color w:val="333333"/>
          <w:sz w:val="20"/>
          <w:szCs w:val="20"/>
        </w:rPr>
        <w:t xml:space="preserve">Combine all three volumes for a 315-question bank covering every major dimension of Total Rewards.</w:t>
      </w:r>
    </w:p>
    <w:p>
      <w:pPr>
        <w:pStyle w:val="ListParagraph"/>
        <w:numPr>
          <w:ilvl w:val="0"/>
          <w:numId w:val="2"/>
        </w:numPr>
        <w:spacing w:after="40" w:before="40"/>
      </w:pPr>
      <w:r>
        <w:rPr>
          <w:rFonts w:ascii="Arial" w:cs="Arial" w:eastAsia="Arial" w:hAnsi="Arial"/>
          <w:color w:val="333333"/>
          <w:sz w:val="20"/>
          <w:szCs w:val="20"/>
        </w:rPr>
        <w:t xml:space="preserve">Each question includes a detailed explanation usable as post-answer learning content in the platform.</w:t>
      </w:r>
    </w:p>
    <w:p>
      <w:r>
        <w:br w:type="page"/>
      </w:r>
    </w:p>
    <w:p>
      <w:pPr>
        <w:shd w:fill="C8963E" w:val="clear"/>
        <w:spacing w:after="0" w:before="480"/>
      </w:pPr>
      <w:r>
        <w:rPr>
          <w:rFonts w:ascii="Arial" w:cs="Arial" w:eastAsia="Arial" w:hAnsi="Arial"/>
          <w:b/>
          <w:bCs/>
          <w:color w:val="FFFFFF"/>
          <w:sz w:val="28"/>
          <w:szCs w:val="28"/>
        </w:rPr>
        <w:t xml:space="preserve">  Total Rewards Fundamentals  </w:t>
      </w:r>
    </w:p>
    <w:p>
      <w:pPr>
        <w:shd w:fill="C8963E" w:val="clear"/>
        <w:spacing w:after="240" w:before="0"/>
      </w:pPr>
      <w:r>
        <w:rPr>
          <w:rFonts w:ascii="Arial" w:cs="Arial" w:eastAsia="Arial" w:hAnsi="Arial"/>
          <w:color w:val="FFFFFF"/>
          <w:sz w:val="18"/>
          <w:szCs w:val="18"/>
        </w:rPr>
        <w:t xml:space="preserve">  Questions Q1 – Q12</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a Total Rewards maturity model?</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framework that describes the stages of sophistication in how an organization designs, manages, and communicates its reward programs — from ad hoc and transactional at early stages to fully integrated, data-driven, and strategically aligned at advanced stages</w:t>
            </w:r>
          </w:p>
          <w:p>
            <w:pPr>
              <w:spacing w:after="40" w:before="40"/>
            </w:pPr>
            <w:r>
              <w:rPr>
                <w:rFonts w:ascii="Arial" w:cs="Arial" w:eastAsia="Arial" w:hAnsi="Arial"/>
                <w:color w:val="333333"/>
                <w:sz w:val="20"/>
                <w:szCs w:val="20"/>
              </w:rPr>
              <w:t xml:space="preserve">B. A tool for measuring whether employees have reached the top of their salary range</w:t>
            </w:r>
          </w:p>
          <w:p>
            <w:pPr>
              <w:spacing w:after="40" w:before="40"/>
            </w:pPr>
            <w:r>
              <w:rPr>
                <w:rFonts w:ascii="Arial" w:cs="Arial" w:eastAsia="Arial" w:hAnsi="Arial"/>
                <w:color w:val="333333"/>
                <w:sz w:val="20"/>
                <w:szCs w:val="20"/>
              </w:rPr>
              <w:t xml:space="preserve">C. A government framework for assessing compliance with minimum wage legislation</w:t>
            </w:r>
          </w:p>
          <w:p>
            <w:pPr>
              <w:spacing w:after="40" w:before="40"/>
            </w:pPr>
            <w:r>
              <w:rPr>
                <w:rFonts w:ascii="Arial" w:cs="Arial" w:eastAsia="Arial" w:hAnsi="Arial"/>
                <w:color w:val="333333"/>
                <w:sz w:val="20"/>
                <w:szCs w:val="20"/>
              </w:rPr>
              <w:t xml:space="preserve">D. A model that predicts when employees are ready for promotion based on tenure</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A</w:t>
            </w:r>
            <w:r>
              <w:rPr>
                <w:rFonts w:ascii="Arial" w:cs="Arial" w:eastAsia="Arial" w:hAnsi="Arial"/>
                <w:color w:val="444444"/>
                <w:sz w:val="18"/>
                <w:szCs w:val="18"/>
              </w:rPr>
              <w:t xml:space="preserve">    |    Total Rewards maturity models help HR teams assess where they are and where to invest next. Early-stage organizations may have inconsistent pay practices and poor communication; mature organizations have integrated reward strategies, robust analytics, and a clear employee value proposition backed by real programs.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How does a merger or acquisition typically affect an organization's Total Rewards strategy?</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All employees automatically receive the acquiring company's pay and benefits from day one</w:t>
            </w:r>
          </w:p>
          <w:p>
            <w:pPr>
              <w:spacing w:after="40" w:before="40"/>
            </w:pPr>
            <w:r>
              <w:rPr>
                <w:rFonts w:ascii="Arial" w:cs="Arial" w:eastAsia="Arial" w:hAnsi="Arial"/>
                <w:color w:val="333333"/>
                <w:sz w:val="20"/>
                <w:szCs w:val="20"/>
              </w:rPr>
              <w:t xml:space="preserve">B. It creates an urgent need to harmonize — or at least understand — two different pay structures, benefit programs, job architectures, and reward philosophies, while managing employee anxiety and retention risk during the integration period</w:t>
            </w:r>
          </w:p>
          <w:p>
            <w:pPr>
              <w:spacing w:after="40" w:before="40"/>
            </w:pPr>
            <w:r>
              <w:rPr>
                <w:rFonts w:ascii="Arial" w:cs="Arial" w:eastAsia="Arial" w:hAnsi="Arial"/>
                <w:color w:val="333333"/>
                <w:sz w:val="20"/>
                <w:szCs w:val="20"/>
              </w:rPr>
              <w:t xml:space="preserve">C. The acquired company's reward programs are always superior and should replace the acquirer's</w:t>
            </w:r>
          </w:p>
          <w:p>
            <w:pPr>
              <w:spacing w:after="40" w:before="40"/>
            </w:pPr>
            <w:r>
              <w:rPr>
                <w:rFonts w:ascii="Arial" w:cs="Arial" w:eastAsia="Arial" w:hAnsi="Arial"/>
                <w:color w:val="333333"/>
                <w:sz w:val="20"/>
                <w:szCs w:val="20"/>
              </w:rPr>
              <w:t xml:space="preserve">D. Mergers and acquisitions have no significant impact on compensation and benefits programs</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M&amp;A reward integration is one of the most complex HR challenges. Employees compare packages immediately; inconsistencies create inequity and flight risk. HR must map roles across both structures, identify gaps, sequence harmonization, and communicate clearly — all while maintaining business continuity.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the 'psychological contract' and how does it relate to Total Rewards?</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legally binding employment contract that guarantees a fixed salary for five years</w:t>
            </w:r>
          </w:p>
          <w:p>
            <w:pPr>
              <w:spacing w:after="40" w:before="40"/>
            </w:pPr>
            <w:r>
              <w:rPr>
                <w:rFonts w:ascii="Arial" w:cs="Arial" w:eastAsia="Arial" w:hAnsi="Arial"/>
                <w:color w:val="333333"/>
                <w:sz w:val="20"/>
                <w:szCs w:val="20"/>
              </w:rPr>
              <w:t xml:space="preserve">B. A formal agreement between HR and employees about performance expectations and bonus eligibility</w:t>
            </w:r>
          </w:p>
          <w:p>
            <w:pPr>
              <w:spacing w:after="40" w:before="40"/>
            </w:pPr>
            <w:r>
              <w:rPr>
                <w:rFonts w:ascii="Arial" w:cs="Arial" w:eastAsia="Arial" w:hAnsi="Arial"/>
                <w:color w:val="333333"/>
                <w:sz w:val="20"/>
                <w:szCs w:val="20"/>
              </w:rPr>
              <w:t xml:space="preserve">C. The unwritten set of mutual expectations between an employer and employee — including beliefs about what the organization will provide in return for effort, loyalty, and performance. When Total Rewards programs fail to meet these expectations, the psychological contract is broken, reducing engagement and increasing attrition</w:t>
            </w:r>
          </w:p>
          <w:p>
            <w:pPr>
              <w:spacing w:after="40" w:before="40"/>
            </w:pPr>
            <w:r>
              <w:rPr>
                <w:rFonts w:ascii="Arial" w:cs="Arial" w:eastAsia="Arial" w:hAnsi="Arial"/>
                <w:color w:val="333333"/>
                <w:sz w:val="20"/>
                <w:szCs w:val="20"/>
              </w:rPr>
              <w:t xml:space="preserve">D. A clinical assessment tool used to evaluate employee mental health as part of a wellbeing program</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C</w:t>
            </w:r>
            <w:r>
              <w:rPr>
                <w:rFonts w:ascii="Arial" w:cs="Arial" w:eastAsia="Arial" w:hAnsi="Arial"/>
                <w:color w:val="444444"/>
                <w:sz w:val="18"/>
                <w:szCs w:val="18"/>
              </w:rPr>
              <w:t xml:space="preserve">    |    The psychological contract is powerful precisely because it is implicit. An employee who joins believing the organization 'invests in people' and then receives no development opportunities, poor recognition, or pay below market will feel the contract is broken — even without any formal promise having been made.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'employer brand' and how is it connected to Total Rewards?</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legal name of the company as registered with the government</w:t>
            </w:r>
          </w:p>
          <w:p>
            <w:pPr>
              <w:spacing w:after="40" w:before="40"/>
            </w:pPr>
            <w:r>
              <w:rPr>
                <w:rFonts w:ascii="Arial" w:cs="Arial" w:eastAsia="Arial" w:hAnsi="Arial"/>
                <w:color w:val="333333"/>
                <w:sz w:val="20"/>
                <w:szCs w:val="20"/>
              </w:rPr>
              <w:t xml:space="preserve">B. The visual identity and logo design used in the company's recruitment advertising</w:t>
            </w:r>
          </w:p>
          <w:p>
            <w:pPr>
              <w:spacing w:after="40" w:before="40"/>
            </w:pPr>
            <w:r>
              <w:rPr>
                <w:rFonts w:ascii="Arial" w:cs="Arial" w:eastAsia="Arial" w:hAnsi="Arial"/>
                <w:color w:val="333333"/>
                <w:sz w:val="20"/>
                <w:szCs w:val="20"/>
              </w:rPr>
              <w:t xml:space="preserve">C. A regulatory classification that determines the minimum benefits an employer must provide</w:t>
            </w:r>
          </w:p>
          <w:p>
            <w:pPr>
              <w:spacing w:after="40" w:before="40"/>
            </w:pPr>
            <w:r>
              <w:rPr>
                <w:rFonts w:ascii="Arial" w:cs="Arial" w:eastAsia="Arial" w:hAnsi="Arial"/>
                <w:color w:val="333333"/>
                <w:sz w:val="20"/>
                <w:szCs w:val="20"/>
              </w:rPr>
              <w:t xml:space="preserve">D. The reputation and perception of the organization as an employer — shaped significantly by how it pays, develops, recognizes, and supports its people. A strong employer brand, backed by genuinely competitive Total Rewards, attracts better candidates and reduces recruitment costs</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D</w:t>
            </w:r>
            <w:r>
              <w:rPr>
                <w:rFonts w:ascii="Arial" w:cs="Arial" w:eastAsia="Arial" w:hAnsi="Arial"/>
                <w:color w:val="444444"/>
                <w:sz w:val="18"/>
                <w:szCs w:val="18"/>
              </w:rPr>
              <w:t xml:space="preserve">    |    Employer brand and Total Rewards are deeply intertwined. Glassdoor reviews, LinkedIn posts, and word-of-mouth from current and former employees make pay, benefits, recognition, and career development highly visible. Organizations with strong, honest employer brands — backed by real rewards — consistently outperform in talent acquisition.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the concept of 'reward differentiation' in Total Rewards strategy?</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practice of intentionally varying the mix and level of reward investment across employee segments, roles, or performance levels — rather than applying identical reward programs uniformly — to maximise return on reward investment and reflect genuine differences in contribution and market value</w:t>
            </w:r>
          </w:p>
          <w:p>
            <w:pPr>
              <w:spacing w:after="40" w:before="40"/>
            </w:pPr>
            <w:r>
              <w:rPr>
                <w:rFonts w:ascii="Arial" w:cs="Arial" w:eastAsia="Arial" w:hAnsi="Arial"/>
                <w:color w:val="333333"/>
                <w:sz w:val="20"/>
                <w:szCs w:val="20"/>
              </w:rPr>
              <w:t xml:space="preserve">B. Paying different salaries to employees based on their demographic characteristics</w:t>
            </w:r>
          </w:p>
          <w:p>
            <w:pPr>
              <w:spacing w:after="40" w:before="40"/>
            </w:pPr>
            <w:r>
              <w:rPr>
                <w:rFonts w:ascii="Arial" w:cs="Arial" w:eastAsia="Arial" w:hAnsi="Arial"/>
                <w:color w:val="333333"/>
                <w:sz w:val="20"/>
                <w:szCs w:val="20"/>
              </w:rPr>
              <w:t xml:space="preserve">C. Offering different bonus amounts based solely on an employee's negotiating ability</w:t>
            </w:r>
          </w:p>
          <w:p>
            <w:pPr>
              <w:spacing w:after="40" w:before="40"/>
            </w:pPr>
            <w:r>
              <w:rPr>
                <w:rFonts w:ascii="Arial" w:cs="Arial" w:eastAsia="Arial" w:hAnsi="Arial"/>
                <w:color w:val="333333"/>
                <w:sz w:val="20"/>
                <w:szCs w:val="20"/>
              </w:rPr>
              <w:t xml:space="preserve">D. Providing senior leaders with reward programs that are entirely separate from and unconnected to those available to other employees</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A</w:t>
            </w:r>
            <w:r>
              <w:rPr>
                <w:rFonts w:ascii="Arial" w:cs="Arial" w:eastAsia="Arial" w:hAnsi="Arial"/>
                <w:color w:val="444444"/>
                <w:sz w:val="18"/>
                <w:szCs w:val="18"/>
              </w:rPr>
              <w:t xml:space="preserve">    |    Reward differentiation is strategic, not arbitrary. It recognizes that a high performer in a critical role creates disproportionate value and should be differentiated from average performers. It also recognizes that different employee segments value different reward elements — segmented design maximizes perceived value and business impact.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does 'remote work' and distributed working models mean for Total Rewards design?</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Remote workers should always receive lower pay because they save money on commuting</w:t>
            </w:r>
          </w:p>
          <w:p>
            <w:pPr>
              <w:spacing w:after="40" w:before="40"/>
            </w:pPr>
            <w:r>
              <w:rPr>
                <w:rFonts w:ascii="Arial" w:cs="Arial" w:eastAsia="Arial" w:hAnsi="Arial"/>
                <w:color w:val="333333"/>
                <w:sz w:val="20"/>
                <w:szCs w:val="20"/>
              </w:rPr>
              <w:t xml:space="preserve">B. They raise important questions about geographic pay differentials, how to deliver non-cash rewards equitably across locations, how to design recognition for dispersed teams, and how to ensure wellbeing support reaches employees regardless of where they work</w:t>
            </w:r>
          </w:p>
          <w:p>
            <w:pPr>
              <w:spacing w:after="40" w:before="40"/>
            </w:pPr>
            <w:r>
              <w:rPr>
                <w:rFonts w:ascii="Arial" w:cs="Arial" w:eastAsia="Arial" w:hAnsi="Arial"/>
                <w:color w:val="333333"/>
                <w:sz w:val="20"/>
                <w:szCs w:val="20"/>
              </w:rPr>
              <w:t xml:space="preserve">C. Organizations should standardize all pay globally when employees work remotely to avoid discrimination</w:t>
            </w:r>
          </w:p>
          <w:p>
            <w:pPr>
              <w:spacing w:after="40" w:before="40"/>
            </w:pPr>
            <w:r>
              <w:rPr>
                <w:rFonts w:ascii="Arial" w:cs="Arial" w:eastAsia="Arial" w:hAnsi="Arial"/>
                <w:color w:val="333333"/>
                <w:sz w:val="20"/>
                <w:szCs w:val="20"/>
              </w:rPr>
              <w:t xml:space="preserve">D. Remote working has no impact on Total Rewards as employees are performing the same jobs</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Distributed work forces organizations to rethink the delivery of every reward pillar. Benefits designed for office-based workers (gym subsidies, on-site meals) may have little value remotely. Recognition programs designed for in-person acknowledgment need digital alternatives. Geographic pay policies need updating for employees who move.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does it mean for Total Rewards governance to operate at board level?</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That every pay decision in the organization requires board approval before it can be implemented</w:t>
            </w:r>
          </w:p>
          <w:p>
            <w:pPr>
              <w:spacing w:after="40" w:before="40"/>
            </w:pPr>
            <w:r>
              <w:rPr>
                <w:rFonts w:ascii="Arial" w:cs="Arial" w:eastAsia="Arial" w:hAnsi="Arial"/>
                <w:color w:val="333333"/>
                <w:sz w:val="20"/>
                <w:szCs w:val="20"/>
              </w:rPr>
              <w:t xml:space="preserve">B. That the board sets the exact salary for every employee each year</w:t>
            </w:r>
          </w:p>
          <w:p>
            <w:pPr>
              <w:spacing w:after="40" w:before="40"/>
            </w:pPr>
            <w:r>
              <w:rPr>
                <w:rFonts w:ascii="Arial" w:cs="Arial" w:eastAsia="Arial" w:hAnsi="Arial"/>
                <w:color w:val="333333"/>
                <w:sz w:val="20"/>
                <w:szCs w:val="20"/>
              </w:rPr>
              <w:t xml:space="preserve">C. That the board — typically through a remuneration or people committee — has oversight of the organization's reward philosophy, executive compensation, significant reward investments, and the alignment between reward strategy and organizational values and long-term sustainability</w:t>
            </w:r>
          </w:p>
          <w:p>
            <w:pPr>
              <w:spacing w:after="40" w:before="40"/>
            </w:pPr>
            <w:r>
              <w:rPr>
                <w:rFonts w:ascii="Arial" w:cs="Arial" w:eastAsia="Arial" w:hAnsi="Arial"/>
                <w:color w:val="333333"/>
                <w:sz w:val="20"/>
                <w:szCs w:val="20"/>
              </w:rPr>
              <w:t xml:space="preserve">D. That board members personally negotiate with employees about their reward packages</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C</w:t>
            </w:r>
            <w:r>
              <w:rPr>
                <w:rFonts w:ascii="Arial" w:cs="Arial" w:eastAsia="Arial" w:hAnsi="Arial"/>
                <w:color w:val="444444"/>
                <w:sz w:val="18"/>
                <w:szCs w:val="18"/>
              </w:rPr>
              <w:t xml:space="preserve">    |    Board-level reward governance provides the accountability and strategic alignment that reward programs need. It ensures executive pay is set independently, reward programs reflect organizational values, and significant reward investments are considered in the context of long-term business sustainability — not just short-term cost management.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Which of the following best describes how generational differences affect Total Rewards design?</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Younger generations always want only cash and do not value non-financial rewards</w:t>
            </w:r>
          </w:p>
          <w:p>
            <w:pPr>
              <w:spacing w:after="40" w:before="40"/>
            </w:pPr>
            <w:r>
              <w:rPr>
                <w:rFonts w:ascii="Arial" w:cs="Arial" w:eastAsia="Arial" w:hAnsi="Arial"/>
                <w:color w:val="333333"/>
                <w:sz w:val="20"/>
                <w:szCs w:val="20"/>
              </w:rPr>
              <w:t xml:space="preserve">B. Older generations are not interested in career development or learning</w:t>
            </w:r>
          </w:p>
          <w:p>
            <w:pPr>
              <w:spacing w:after="40" w:before="40"/>
            </w:pPr>
            <w:r>
              <w:rPr>
                <w:rFonts w:ascii="Arial" w:cs="Arial" w:eastAsia="Arial" w:hAnsi="Arial"/>
                <w:color w:val="333333"/>
                <w:sz w:val="20"/>
                <w:szCs w:val="20"/>
              </w:rPr>
              <w:t xml:space="preserve">C. All generations have identical reward preferences and should be treated uniformly</w:t>
            </w:r>
          </w:p>
          <w:p>
            <w:pPr>
              <w:spacing w:after="40" w:before="40"/>
            </w:pPr>
            <w:r>
              <w:rPr>
                <w:rFonts w:ascii="Arial" w:cs="Arial" w:eastAsia="Arial" w:hAnsi="Arial"/>
                <w:color w:val="333333"/>
                <w:sz w:val="20"/>
                <w:szCs w:val="20"/>
              </w:rPr>
              <w:t xml:space="preserve">D. Different age cohorts within the workforce tend to prioritize different reward elements — for example, early-career employees may prioritize learning and flexibility, while mid-career employees focus on benefits security and pay fairness, and pre-retirement employees on retirement planning and legacy. This informs segmented reward design</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D</w:t>
            </w:r>
            <w:r>
              <w:rPr>
                <w:rFonts w:ascii="Arial" w:cs="Arial" w:eastAsia="Arial" w:hAnsi="Arial"/>
                <w:color w:val="444444"/>
                <w:sz w:val="18"/>
                <w:szCs w:val="18"/>
              </w:rPr>
              <w:t xml:space="preserve">    |    Generational reward preferences are real but should not be stereotyped. Using workforce segmentation data — from engagement surveys, focus groups, and exit interviews — to understand what different groups value enables more targeted reward investment. Flexibility and career development consistently rate highly across generations despite assumed differences.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a 'total rewards proposition' and how does it differ from a traditional compensation and benefits statement?</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comprehensive articulation of every dimension of value the organization offers employees — extending beyond pay and benefits to include career growth, culture, flexibility, wellbeing, recognition, and purpose — used in attraction, engagement, and retention conversations to communicate the full employee experience</w:t>
            </w:r>
          </w:p>
          <w:p>
            <w:pPr>
              <w:spacing w:after="40" w:before="40"/>
            </w:pPr>
            <w:r>
              <w:rPr>
                <w:rFonts w:ascii="Arial" w:cs="Arial" w:eastAsia="Arial" w:hAnsi="Arial"/>
                <w:color w:val="333333"/>
                <w:sz w:val="20"/>
                <w:szCs w:val="20"/>
              </w:rPr>
              <w:t xml:space="preserve">B. A legal document summarizing an employee's entitlements under their employment contract</w:t>
            </w:r>
          </w:p>
          <w:p>
            <w:pPr>
              <w:spacing w:after="40" w:before="40"/>
            </w:pPr>
            <w:r>
              <w:rPr>
                <w:rFonts w:ascii="Arial" w:cs="Arial" w:eastAsia="Arial" w:hAnsi="Arial"/>
                <w:color w:val="333333"/>
                <w:sz w:val="20"/>
                <w:szCs w:val="20"/>
              </w:rPr>
              <w:t xml:space="preserve">C. A salary survey report comparing pay levels against competitors in the market</w:t>
            </w:r>
          </w:p>
          <w:p>
            <w:pPr>
              <w:spacing w:after="40" w:before="40"/>
            </w:pPr>
            <w:r>
              <w:rPr>
                <w:rFonts w:ascii="Arial" w:cs="Arial" w:eastAsia="Arial" w:hAnsi="Arial"/>
                <w:color w:val="333333"/>
                <w:sz w:val="20"/>
                <w:szCs w:val="20"/>
              </w:rPr>
              <w:t xml:space="preserve">D. A performance review document outlining what an employee has achieved and what they will be paid next year</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A</w:t>
            </w:r>
            <w:r>
              <w:rPr>
                <w:rFonts w:ascii="Arial" w:cs="Arial" w:eastAsia="Arial" w:hAnsi="Arial"/>
                <w:color w:val="444444"/>
                <w:sz w:val="18"/>
                <w:szCs w:val="18"/>
              </w:rPr>
              <w:t xml:space="preserve">    |    A total rewards proposition is more expansive than a benefits summary or salary offer. It communicates the complete answer to 'why work here?' — encompassing all financial and non-financial dimensions of value. Used effectively in recruitment and engagement, it differentiates the employer beyond pay alone.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10</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'skills-based pay' and why is it gaining relevance in Total Rewards strategy?</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pay system that rewards employees based solely on the number of years they have worked in any role</w:t>
            </w:r>
          </w:p>
          <w:p>
            <w:pPr>
              <w:spacing w:after="40" w:before="40"/>
            </w:pPr>
            <w:r>
              <w:rPr>
                <w:rFonts w:ascii="Arial" w:cs="Arial" w:eastAsia="Arial" w:hAnsi="Arial"/>
                <w:color w:val="333333"/>
                <w:sz w:val="20"/>
                <w:szCs w:val="20"/>
              </w:rPr>
              <w:t xml:space="preserve">B. A compensation approach that rewards employees for the specific skills they possess and can apply — rather than only for the role they hold — aligning pay with capability and enabling more flexible workforce deployment. It is gaining relevance as organizations shift from job-based to skills-based talent models</w:t>
            </w:r>
          </w:p>
          <w:p>
            <w:pPr>
              <w:spacing w:after="40" w:before="40"/>
            </w:pPr>
            <w:r>
              <w:rPr>
                <w:rFonts w:ascii="Arial" w:cs="Arial" w:eastAsia="Arial" w:hAnsi="Arial"/>
                <w:color w:val="333333"/>
                <w:sz w:val="20"/>
                <w:szCs w:val="20"/>
              </w:rPr>
              <w:t xml:space="preserve">C. A bonus scheme that pays employees when they complete a training course</w:t>
            </w:r>
          </w:p>
          <w:p>
            <w:pPr>
              <w:spacing w:after="40" w:before="40"/>
            </w:pPr>
            <w:r>
              <w:rPr>
                <w:rFonts w:ascii="Arial" w:cs="Arial" w:eastAsia="Arial" w:hAnsi="Arial"/>
                <w:color w:val="333333"/>
                <w:sz w:val="20"/>
                <w:szCs w:val="20"/>
              </w:rPr>
              <w:t xml:space="preserve">D. A system that automatically increases pay whenever an employee earns a professional certification, regardless of business need</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Skills-based pay is increasingly relevant as work becomes more fluid and organizations value the breadth of skills employees can deploy rather than rigid job definitions. It supports agile working, internal mobility, and investment in skill-building — though it requires robust skills taxonomy and governance to implement fairly.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11</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does the term 'total reward value' mean in the context of employee communications?</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maximum salary an employee can receive at the top of their grade</w:t>
            </w:r>
          </w:p>
          <w:p>
            <w:pPr>
              <w:spacing w:after="40" w:before="40"/>
            </w:pPr>
            <w:r>
              <w:rPr>
                <w:rFonts w:ascii="Arial" w:cs="Arial" w:eastAsia="Arial" w:hAnsi="Arial"/>
                <w:color w:val="333333"/>
                <w:sz w:val="20"/>
                <w:szCs w:val="20"/>
              </w:rPr>
              <w:t xml:space="preserve">B. The total cost to the employer of all payroll and benefits expenditure for the year</w:t>
            </w:r>
          </w:p>
          <w:p>
            <w:pPr>
              <w:spacing w:after="40" w:before="40"/>
            </w:pPr>
            <w:r>
              <w:rPr>
                <w:rFonts w:ascii="Arial" w:cs="Arial" w:eastAsia="Arial" w:hAnsi="Arial"/>
                <w:color w:val="333333"/>
                <w:sz w:val="20"/>
                <w:szCs w:val="20"/>
              </w:rPr>
              <w:t xml:space="preserve">C. The complete monetary and non-monetary value of everything an organization provides to an individual employee — expressed in a way that makes visible the full investment the employer makes, often including salary, incentives, benefits, pension, training, and flexibility</w:t>
            </w:r>
          </w:p>
          <w:p>
            <w:pPr>
              <w:spacing w:after="40" w:before="40"/>
            </w:pPr>
            <w:r>
              <w:rPr>
                <w:rFonts w:ascii="Arial" w:cs="Arial" w:eastAsia="Arial" w:hAnsi="Arial"/>
                <w:color w:val="333333"/>
                <w:sz w:val="20"/>
                <w:szCs w:val="20"/>
              </w:rPr>
              <w:t xml:space="preserve">D. A score assigned to each employee's performance to determine their annual increase</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C</w:t>
            </w:r>
            <w:r>
              <w:rPr>
                <w:rFonts w:ascii="Arial" w:cs="Arial" w:eastAsia="Arial" w:hAnsi="Arial"/>
                <w:color w:val="444444"/>
                <w:sz w:val="18"/>
                <w:szCs w:val="18"/>
              </w:rPr>
              <w:t xml:space="preserve">    |    Communicating total reward value helps employees see beyond their payslip. When an employee understands that their salary of $70,000 is supplemented by employer pension contributions of $5,600, health insurance of $4,000, life cover, and learning resources — the total picture is significantly more compelling and builds appreciation.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12</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a 'reward governance framework' and why does an organization need one?</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document listing all government regulations the organization must comply with in reward</w:t>
            </w:r>
          </w:p>
          <w:p>
            <w:pPr>
              <w:spacing w:after="40" w:before="40"/>
            </w:pPr>
            <w:r>
              <w:rPr>
                <w:rFonts w:ascii="Arial" w:cs="Arial" w:eastAsia="Arial" w:hAnsi="Arial"/>
                <w:color w:val="333333"/>
                <w:sz w:val="20"/>
                <w:szCs w:val="20"/>
              </w:rPr>
              <w:t xml:space="preserve">B. A system that automatically processes all salary increases without human involvement</w:t>
            </w:r>
          </w:p>
          <w:p>
            <w:pPr>
              <w:spacing w:after="40" w:before="40"/>
            </w:pPr>
            <w:r>
              <w:rPr>
                <w:rFonts w:ascii="Arial" w:cs="Arial" w:eastAsia="Arial" w:hAnsi="Arial"/>
                <w:color w:val="333333"/>
                <w:sz w:val="20"/>
                <w:szCs w:val="20"/>
              </w:rPr>
              <w:t xml:space="preserve">C. A performance management tool that connects objectives to bonus payouts</w:t>
            </w:r>
          </w:p>
          <w:p>
            <w:pPr>
              <w:spacing w:after="40" w:before="40"/>
            </w:pPr>
            <w:r>
              <w:rPr>
                <w:rFonts w:ascii="Arial" w:cs="Arial" w:eastAsia="Arial" w:hAnsi="Arial"/>
                <w:color w:val="333333"/>
                <w:sz w:val="20"/>
                <w:szCs w:val="20"/>
              </w:rPr>
              <w:t xml:space="preserve">D. A structured set of policies, approval authorities, escalation processes, and review cycles that govern how pay and reward decisions are made, documented, and audited — ensuring consistency, fairness, and accountability across all levels of the organization</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D</w:t>
            </w:r>
            <w:r>
              <w:rPr>
                <w:rFonts w:ascii="Arial" w:cs="Arial" w:eastAsia="Arial" w:hAnsi="Arial"/>
                <w:color w:val="444444"/>
                <w:sz w:val="18"/>
                <w:szCs w:val="18"/>
              </w:rPr>
              <w:t xml:space="preserve">    |    Without a reward governance framework, pay decisions default to individual manager discretion — creating inconsistency, inequity, and budget overruns. A governance framework defines who can approve what, how exceptions are managed, when structures are reviewed, and how compliance is monitored — protecting the organization and its employees.</w:t>
            </w:r>
          </w:p>
        </w:tc>
      </w:tr>
    </w:tbl>
    <w:p>
      <w:pPr>
        <w:spacing w:after="200" w:before="0"/>
      </w:pPr>
      <w:r>
        <w:t xml:space="preserve"/>
      </w:r>
    </w:p>
    <w:p>
      <w:r>
        <w:br w:type="page"/>
      </w:r>
    </w:p>
    <w:p>
      <w:pPr>
        <w:shd w:fill="2E7D8C" w:val="clear"/>
        <w:spacing w:after="0" w:before="480"/>
      </w:pPr>
      <w:r>
        <w:rPr>
          <w:rFonts w:ascii="Arial" w:cs="Arial" w:eastAsia="Arial" w:hAnsi="Arial"/>
          <w:b/>
          <w:bCs/>
          <w:color w:val="FFFFFF"/>
          <w:sz w:val="28"/>
          <w:szCs w:val="28"/>
        </w:rPr>
        <w:t xml:space="preserve">  Compensation Design  </w:t>
      </w:r>
    </w:p>
    <w:p>
      <w:pPr>
        <w:shd w:fill="2E7D8C" w:val="clear"/>
        <w:spacing w:after="240" w:before="0"/>
      </w:pPr>
      <w:r>
        <w:rPr>
          <w:rFonts w:ascii="Arial" w:cs="Arial" w:eastAsia="Arial" w:hAnsi="Arial"/>
          <w:color w:val="FFFFFF"/>
          <w:sz w:val="18"/>
          <w:szCs w:val="18"/>
        </w:rPr>
        <w:t xml:space="preserve">  Questions Q13 – Q24</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13</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a signing bonus (also called a joining bonus) and what purpose does it serve?</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one-time cash payment made to a new employee at or shortly after joining — used to make the offer more competitive, compensate the candidate for benefits they are giving up by leaving their current employer (such as unvested bonuses or equity), or bridge a gap between what the organization can offer in base salary and what the candidate requires</w:t>
            </w:r>
          </w:p>
          <w:p>
            <w:pPr>
              <w:spacing w:after="40" w:before="40"/>
            </w:pPr>
            <w:r>
              <w:rPr>
                <w:rFonts w:ascii="Arial" w:cs="Arial" w:eastAsia="Arial" w:hAnsi="Arial"/>
                <w:color w:val="333333"/>
                <w:sz w:val="20"/>
                <w:szCs w:val="20"/>
              </w:rPr>
              <w:t xml:space="preserve">B. A bonus paid to existing employees who refer a successful candidate to the organization</w:t>
            </w:r>
          </w:p>
          <w:p>
            <w:pPr>
              <w:spacing w:after="40" w:before="40"/>
            </w:pPr>
            <w:r>
              <w:rPr>
                <w:rFonts w:ascii="Arial" w:cs="Arial" w:eastAsia="Arial" w:hAnsi="Arial"/>
                <w:color w:val="333333"/>
                <w:sz w:val="20"/>
                <w:szCs w:val="20"/>
              </w:rPr>
              <w:t xml:space="preserve">C. A regular monthly payment in addition to salary for all new employees during their first year</w:t>
            </w:r>
          </w:p>
          <w:p>
            <w:pPr>
              <w:spacing w:after="40" w:before="40"/>
            </w:pPr>
            <w:r>
              <w:rPr>
                <w:rFonts w:ascii="Arial" w:cs="Arial" w:eastAsia="Arial" w:hAnsi="Arial"/>
                <w:color w:val="333333"/>
                <w:sz w:val="20"/>
                <w:szCs w:val="20"/>
              </w:rPr>
              <w:t xml:space="preserve">D. A performance award paid to employees who complete their first year without any absence</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A</w:t>
            </w:r>
            <w:r>
              <w:rPr>
                <w:rFonts w:ascii="Arial" w:cs="Arial" w:eastAsia="Arial" w:hAnsi="Arial"/>
                <w:color w:val="444444"/>
                <w:sz w:val="18"/>
                <w:szCs w:val="18"/>
              </w:rPr>
              <w:t xml:space="preserve">    |    Signing bonuses are particularly common when competing for scarce talent or when candidates would forfeit significant unvested awards by leaving. They typically include a clawback provision requiring repayment if the employee leaves within 12–24 months — ensuring the investment is retained.</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14</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a retention bonus and in what circumstances is it typically used?</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portion of base salary that is withheld until an employee completes a defined service period</w:t>
            </w:r>
          </w:p>
          <w:p>
            <w:pPr>
              <w:spacing w:after="40" w:before="40"/>
            </w:pPr>
            <w:r>
              <w:rPr>
                <w:rFonts w:ascii="Arial" w:cs="Arial" w:eastAsia="Arial" w:hAnsi="Arial"/>
                <w:color w:val="333333"/>
                <w:sz w:val="20"/>
                <w:szCs w:val="20"/>
              </w:rPr>
              <w:t xml:space="preserve">B. A targeted cash payment made to specific employees who are at high flight risk or who are critical to a defined business period — such as a system migration, merger integration, or major project — conditional on the employee remaining with the organization for a specified time</w:t>
            </w:r>
          </w:p>
          <w:p>
            <w:pPr>
              <w:spacing w:after="40" w:before="40"/>
            </w:pPr>
            <w:r>
              <w:rPr>
                <w:rFonts w:ascii="Arial" w:cs="Arial" w:eastAsia="Arial" w:hAnsi="Arial"/>
                <w:color w:val="333333"/>
                <w:sz w:val="20"/>
                <w:szCs w:val="20"/>
              </w:rPr>
              <w:t xml:space="preserve">C. An automatic salary increase given to all employees who have been in the organization for more than five years</w:t>
            </w:r>
          </w:p>
          <w:p>
            <w:pPr>
              <w:spacing w:after="40" w:before="40"/>
            </w:pPr>
            <w:r>
              <w:rPr>
                <w:rFonts w:ascii="Arial" w:cs="Arial" w:eastAsia="Arial" w:hAnsi="Arial"/>
                <w:color w:val="333333"/>
                <w:sz w:val="20"/>
                <w:szCs w:val="20"/>
              </w:rPr>
              <w:t xml:space="preserve">D. A bonus paid to employees who recruit new colleagues into the organization</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Retention bonuses are tactical tools — not a substitute for competitive total rewards. They are most effective when targeted precisely at individuals or groups whose departure would cause specific, material business harm within a defined timeframe. Over-reliance on retention bonuses signals deeper reward competitiveness issues.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15</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are geographic pay differentials and why do organizations use them?</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Pay differences that arise because employees in some locations are paid more based on their nationality rather than their location</w:t>
            </w:r>
          </w:p>
          <w:p>
            <w:pPr>
              <w:spacing w:after="40" w:before="40"/>
            </w:pPr>
            <w:r>
              <w:rPr>
                <w:rFonts w:ascii="Arial" w:cs="Arial" w:eastAsia="Arial" w:hAnsi="Arial"/>
                <w:color w:val="333333"/>
                <w:sz w:val="20"/>
                <w:szCs w:val="20"/>
              </w:rPr>
              <w:t xml:space="preserve">B. A requirement for all multinational organizations to pay the same salary globally for equivalent roles</w:t>
            </w:r>
          </w:p>
          <w:p>
            <w:pPr>
              <w:spacing w:after="40" w:before="40"/>
            </w:pPr>
            <w:r>
              <w:rPr>
                <w:rFonts w:ascii="Arial" w:cs="Arial" w:eastAsia="Arial" w:hAnsi="Arial"/>
                <w:color w:val="333333"/>
                <w:sz w:val="20"/>
                <w:szCs w:val="20"/>
              </w:rPr>
              <w:t xml:space="preserve">C. Deliberate adjustments to pay levels that reflect differences in the cost of living, labor market rates, or talent supply across different locations — ensuring the organization's pay is competitive in each local market while maintaining consistent internal principles</w:t>
            </w:r>
          </w:p>
          <w:p>
            <w:pPr>
              <w:spacing w:after="40" w:before="40"/>
            </w:pPr>
            <w:r>
              <w:rPr>
                <w:rFonts w:ascii="Arial" w:cs="Arial" w:eastAsia="Arial" w:hAnsi="Arial"/>
                <w:color w:val="333333"/>
                <w:sz w:val="20"/>
                <w:szCs w:val="20"/>
              </w:rPr>
              <w:t xml:space="preserve">D. Pay differences that result from historical discrimination and have never been corrected</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C</w:t>
            </w:r>
            <w:r>
              <w:rPr>
                <w:rFonts w:ascii="Arial" w:cs="Arial" w:eastAsia="Arial" w:hAnsi="Arial"/>
                <w:color w:val="444444"/>
                <w:sz w:val="18"/>
                <w:szCs w:val="18"/>
              </w:rPr>
              <w:t xml:space="preserve">    |    Geographic pay differentials are a legitimate and necessary feature of compensation design in multi-location organizations. A software engineer in San Francisco and one in Austin performing the same role may receive different salaries because the cost of living, market competition, and talent supply differ materially between those markets.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16</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an off-cycle salary review and when is it appropriate?</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annual merit review cycle conducted in the fourth quarter of each year</w:t>
            </w:r>
          </w:p>
          <w:p>
            <w:pPr>
              <w:spacing w:after="40" w:before="40"/>
            </w:pPr>
            <w:r>
              <w:rPr>
                <w:rFonts w:ascii="Arial" w:cs="Arial" w:eastAsia="Arial" w:hAnsi="Arial"/>
                <w:color w:val="333333"/>
                <w:sz w:val="20"/>
                <w:szCs w:val="20"/>
              </w:rPr>
              <w:t xml:space="preserve">B. A salary adjustment given to all employees simultaneously outside the normal review period</w:t>
            </w:r>
          </w:p>
          <w:p>
            <w:pPr>
              <w:spacing w:after="40" w:before="40"/>
            </w:pPr>
            <w:r>
              <w:rPr>
                <w:rFonts w:ascii="Arial" w:cs="Arial" w:eastAsia="Arial" w:hAnsi="Arial"/>
                <w:color w:val="333333"/>
                <w:sz w:val="20"/>
                <w:szCs w:val="20"/>
              </w:rPr>
              <w:t xml:space="preserve">C. A review conducted whenever the CEO requests a salary change for a specific team</w:t>
            </w:r>
          </w:p>
          <w:p>
            <w:pPr>
              <w:spacing w:after="40" w:before="40"/>
            </w:pPr>
            <w:r>
              <w:rPr>
                <w:rFonts w:ascii="Arial" w:cs="Arial" w:eastAsia="Arial" w:hAnsi="Arial"/>
                <w:color w:val="333333"/>
                <w:sz w:val="20"/>
                <w:szCs w:val="20"/>
              </w:rPr>
              <w:t xml:space="preserve">D. A pay adjustment made outside the standard annual review cycle — typically to address a specific equity concern, counter a competing offer, correct an error, reflect a significant role change, or resolve a retention risk that cannot wait until the next scheduled review</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D</w:t>
            </w:r>
            <w:r>
              <w:rPr>
                <w:rFonts w:ascii="Arial" w:cs="Arial" w:eastAsia="Arial" w:hAnsi="Arial"/>
                <w:color w:val="444444"/>
                <w:sz w:val="18"/>
                <w:szCs w:val="18"/>
              </w:rPr>
              <w:t xml:space="preserve">    |    Off-cycle reviews are a necessary governance tool but should be used sparingly and consistently. Organizations should have clear approval criteria and documentation requirements for off-cycle changes to prevent them becoming a workaround that undermines the integrity of the annual process.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17</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a 'living wage' and how does it differ from a statutory minimum wage?</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living wage is independently calculated based on the actual cost of meeting basic living needs — food, shelter, transport, and participation in society — and is typically higher than the legally mandated minimum wage. Some employers commit to paying at least a living wage as a statement of their values and social responsibility</w:t>
            </w:r>
          </w:p>
          <w:p>
            <w:pPr>
              <w:spacing w:after="40" w:before="40"/>
            </w:pPr>
            <w:r>
              <w:rPr>
                <w:rFonts w:ascii="Arial" w:cs="Arial" w:eastAsia="Arial" w:hAnsi="Arial"/>
                <w:color w:val="333333"/>
                <w:sz w:val="20"/>
                <w:szCs w:val="20"/>
              </w:rPr>
              <w:t xml:space="preserve">B. The living wage and minimum wage are identical terms for the government-mandated pay floor</w:t>
            </w:r>
          </w:p>
          <w:p>
            <w:pPr>
              <w:spacing w:after="40" w:before="40"/>
            </w:pPr>
            <w:r>
              <w:rPr>
                <w:rFonts w:ascii="Arial" w:cs="Arial" w:eastAsia="Arial" w:hAnsi="Arial"/>
                <w:color w:val="333333"/>
                <w:sz w:val="20"/>
                <w:szCs w:val="20"/>
              </w:rPr>
              <w:t xml:space="preserve">C. A living wage applies only to part-time employees; minimum wage applies to full-time employees</w:t>
            </w:r>
          </w:p>
          <w:p>
            <w:pPr>
              <w:spacing w:after="40" w:before="40"/>
            </w:pPr>
            <w:r>
              <w:rPr>
                <w:rFonts w:ascii="Arial" w:cs="Arial" w:eastAsia="Arial" w:hAnsi="Arial"/>
                <w:color w:val="333333"/>
                <w:sz w:val="20"/>
                <w:szCs w:val="20"/>
              </w:rPr>
              <w:t xml:space="preserve">D. A living wage is a voluntary target only for public sector organizations; private companies are exempt</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A</w:t>
            </w:r>
            <w:r>
              <w:rPr>
                <w:rFonts w:ascii="Arial" w:cs="Arial" w:eastAsia="Arial" w:hAnsi="Arial"/>
                <w:color w:val="444444"/>
                <w:sz w:val="18"/>
                <w:szCs w:val="18"/>
              </w:rPr>
              <w:t xml:space="preserve">    |    Living wage accreditation is increasingly used as a Total Rewards signal — demonstrating that an organization genuinely invests in employee financial security beyond legal compliance. It also has demonstrable business benefits: lower turnover, higher engagement, and improved employer brand, particularly in service industries where minimum wage roles are common.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18</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a 'spot bonus' and how does it differ from a structured annual bonus?</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bonus paid only to employees who are spotted by senior leadership as having exceptional potential</w:t>
            </w:r>
          </w:p>
          <w:p>
            <w:pPr>
              <w:spacing w:after="40" w:before="40"/>
            </w:pPr>
            <w:r>
              <w:rPr>
                <w:rFonts w:ascii="Arial" w:cs="Arial" w:eastAsia="Arial" w:hAnsi="Arial"/>
                <w:color w:val="333333"/>
                <w:sz w:val="20"/>
                <w:szCs w:val="20"/>
              </w:rPr>
              <w:t xml:space="preserve">B. A discretionary, typically small cash or non-cash award made in real time to recognize a specific immediate contribution — such as going above and beyond on a project, handling a crisis exceptionally, or demonstrating outstanding team support. Unlike annual bonuses, spot bonuses are immediate, personal, and tied to a specific behavior</w:t>
            </w:r>
          </w:p>
          <w:p>
            <w:pPr>
              <w:spacing w:after="40" w:before="40"/>
            </w:pPr>
            <w:r>
              <w:rPr>
                <w:rFonts w:ascii="Arial" w:cs="Arial" w:eastAsia="Arial" w:hAnsi="Arial"/>
                <w:color w:val="333333"/>
                <w:sz w:val="20"/>
                <w:szCs w:val="20"/>
              </w:rPr>
              <w:t xml:space="preserve">C. A bonus automatically calculated by the payroll system based on monthly performance data</w:t>
            </w:r>
          </w:p>
          <w:p>
            <w:pPr>
              <w:spacing w:after="40" w:before="40"/>
            </w:pPr>
            <w:r>
              <w:rPr>
                <w:rFonts w:ascii="Arial" w:cs="Arial" w:eastAsia="Arial" w:hAnsi="Arial"/>
                <w:color w:val="333333"/>
                <w:sz w:val="20"/>
                <w:szCs w:val="20"/>
              </w:rPr>
              <w:t xml:space="preserve">D. The first instalment of an annual bonus paid at the midpoint of the performance year</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Spot bonuses are a powerful recognition tool because of their immediacy and specificity. Receiving $200 and a personal note explaining exactly why within days of a contribution is more motivating than receiving it folded into an annual bonus months later with no specific attribution.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19</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the risk of relying too heavily on allowances rather than base salary in compensation design?</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Allowances are always more expensive than base salary for the organization</w:t>
            </w:r>
          </w:p>
          <w:p>
            <w:pPr>
              <w:spacing w:after="40" w:before="40"/>
            </w:pPr>
            <w:r>
              <w:rPr>
                <w:rFonts w:ascii="Arial" w:cs="Arial" w:eastAsia="Arial" w:hAnsi="Arial"/>
                <w:color w:val="333333"/>
                <w:sz w:val="20"/>
                <w:szCs w:val="20"/>
              </w:rPr>
              <w:t xml:space="preserve">B. Allowances are illegal in most countries and expose the organization to regulatory risk</w:t>
            </w:r>
          </w:p>
          <w:p>
            <w:pPr>
              <w:spacing w:after="40" w:before="40"/>
            </w:pPr>
            <w:r>
              <w:rPr>
                <w:rFonts w:ascii="Arial" w:cs="Arial" w:eastAsia="Arial" w:hAnsi="Arial"/>
                <w:color w:val="333333"/>
                <w:sz w:val="20"/>
                <w:szCs w:val="20"/>
              </w:rPr>
              <w:t xml:space="preserve">C. Allowances can be removed more easily than base salary — creating employee vulnerability and reducing pension contributions (which are typically calculated on base salary). Over time, heavy allowance structures can also create complex administration, inconsistency, and genuine equity concerns if allowances are applied unevenly</w:t>
            </w:r>
          </w:p>
          <w:p>
            <w:pPr>
              <w:spacing w:after="40" w:before="40"/>
            </w:pPr>
            <w:r>
              <w:rPr>
                <w:rFonts w:ascii="Arial" w:cs="Arial" w:eastAsia="Arial" w:hAnsi="Arial"/>
                <w:color w:val="333333"/>
                <w:sz w:val="20"/>
                <w:szCs w:val="20"/>
              </w:rPr>
              <w:t xml:space="preserve">D. Employees always prefer allowances over base salary and will leave if allowances are reduced</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C</w:t>
            </w:r>
            <w:r>
              <w:rPr>
                <w:rFonts w:ascii="Arial" w:cs="Arial" w:eastAsia="Arial" w:hAnsi="Arial"/>
                <w:color w:val="444444"/>
                <w:sz w:val="18"/>
                <w:szCs w:val="18"/>
              </w:rPr>
              <w:t xml:space="preserve">    |    Heavy reliance on allowances (housing, transport, food, phone) is common in some markets but creates structural risks. Many allowances are excluded from pensionable pay and severance calculations — effectively reducing retirement and redundancy benefits. Allowance structures also tend to proliferate and become inconsistent over time.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20</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a 'pay review calendar' and why is it important for compensation governance?</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public document listing every employee's salary and when it was last changed</w:t>
            </w:r>
          </w:p>
          <w:p>
            <w:pPr>
              <w:spacing w:after="40" w:before="40"/>
            </w:pPr>
            <w:r>
              <w:rPr>
                <w:rFonts w:ascii="Arial" w:cs="Arial" w:eastAsia="Arial" w:hAnsi="Arial"/>
                <w:color w:val="333333"/>
                <w:sz w:val="20"/>
                <w:szCs w:val="20"/>
              </w:rPr>
              <w:t xml:space="preserve">B. A regulatory filing that organizations submit annually to government authorities</w:t>
            </w:r>
          </w:p>
          <w:p>
            <w:pPr>
              <w:spacing w:after="40" w:before="40"/>
            </w:pPr>
            <w:r>
              <w:rPr>
                <w:rFonts w:ascii="Arial" w:cs="Arial" w:eastAsia="Arial" w:hAnsi="Arial"/>
                <w:color w:val="333333"/>
                <w:sz w:val="20"/>
                <w:szCs w:val="20"/>
              </w:rPr>
              <w:t xml:space="preserve">C. A tool that automatically calculates salary increases without manager involvement</w:t>
            </w:r>
          </w:p>
          <w:p>
            <w:pPr>
              <w:spacing w:after="40" w:before="40"/>
            </w:pPr>
            <w:r>
              <w:rPr>
                <w:rFonts w:ascii="Arial" w:cs="Arial" w:eastAsia="Arial" w:hAnsi="Arial"/>
                <w:color w:val="333333"/>
                <w:sz w:val="20"/>
                <w:szCs w:val="20"/>
              </w:rPr>
              <w:t xml:space="preserve">D. A structured schedule setting out when different pay review activities occur — including market data refresh, structure review, merit cycle, bonus calculations, and equity audit — enabling HR and finance to plan, coordinate, and communicate predictably and ensuring all pay decisions are made within a governed, documented framework</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D</w:t>
            </w:r>
            <w:r>
              <w:rPr>
                <w:rFonts w:ascii="Arial" w:cs="Arial" w:eastAsia="Arial" w:hAnsi="Arial"/>
                <w:color w:val="444444"/>
                <w:sz w:val="18"/>
                <w:szCs w:val="18"/>
              </w:rPr>
              <w:t xml:space="preserve">    |    A pay review calendar prevents ad hoc, uncoordinated pay decisions and ensures all necessary analytical inputs are available at the right time. It also sets employee expectations about when they can expect outcomes — reducing informal pressure on managers to make decisions outside the cycle.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21</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'salary compression' and how can it be measured?</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situation where pay differences between employees at different experience levels or grades become smaller than intended — measurable by comparing compa-ratios across tenure bands within the same grade, or by analyzing the salary differential between newly hired and long-tenured employees in similar roles</w:t>
            </w:r>
          </w:p>
          <w:p>
            <w:pPr>
              <w:spacing w:after="40" w:before="40"/>
            </w:pPr>
            <w:r>
              <w:rPr>
                <w:rFonts w:ascii="Arial" w:cs="Arial" w:eastAsia="Arial" w:hAnsi="Arial"/>
                <w:color w:val="333333"/>
                <w:sz w:val="20"/>
                <w:szCs w:val="20"/>
              </w:rPr>
              <w:t xml:space="preserve">B. A process for reducing the overall payroll budget by cutting all salaries</w:t>
            </w:r>
          </w:p>
          <w:p>
            <w:pPr>
              <w:spacing w:after="40" w:before="40"/>
            </w:pPr>
            <w:r>
              <w:rPr>
                <w:rFonts w:ascii="Arial" w:cs="Arial" w:eastAsia="Arial" w:hAnsi="Arial"/>
                <w:color w:val="333333"/>
                <w:sz w:val="20"/>
                <w:szCs w:val="20"/>
              </w:rPr>
              <w:t xml:space="preserve">C. A technique for fitting all employees into fewer, wider salary bands</w:t>
            </w:r>
          </w:p>
          <w:p>
            <w:pPr>
              <w:spacing w:after="40" w:before="40"/>
            </w:pPr>
            <w:r>
              <w:rPr>
                <w:rFonts w:ascii="Arial" w:cs="Arial" w:eastAsia="Arial" w:hAnsi="Arial"/>
                <w:color w:val="333333"/>
                <w:sz w:val="20"/>
                <w:szCs w:val="20"/>
              </w:rPr>
              <w:t xml:space="preserve">D. When an organization reduces its number of salary grades from many narrow bands to a few broad ones</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A</w:t>
            </w:r>
            <w:r>
              <w:rPr>
                <w:rFonts w:ascii="Arial" w:cs="Arial" w:eastAsia="Arial" w:hAnsi="Arial"/>
                <w:color w:val="444444"/>
                <w:sz w:val="18"/>
                <w:szCs w:val="18"/>
              </w:rPr>
              <w:t xml:space="preserve">    |    Compression is measurable and manageable. Tracking average compa-ratio by tenure band (e.g., 0–2 years vs 5–10 years) within the same grade reveals whether long-serving employees are being overtaken by new hires. The fix requires a combination of market-aligned salary ranges, tenure-sensitive merit guidelines, and proactive off-cycle reviews.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22</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a 'job offer matrix' in the context of new hire pay decisions?</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ranking of all candidates for a role from most to least suitable based on skills assessment</w:t>
            </w:r>
          </w:p>
          <w:p>
            <w:pPr>
              <w:spacing w:after="40" w:before="40"/>
            </w:pPr>
            <w:r>
              <w:rPr>
                <w:rFonts w:ascii="Arial" w:cs="Arial" w:eastAsia="Arial" w:hAnsi="Arial"/>
                <w:color w:val="333333"/>
                <w:sz w:val="20"/>
                <w:szCs w:val="20"/>
              </w:rPr>
              <w:t xml:space="preserve">B. A structured tool — typically showing recommended offer ranges based on the role's grade, the candidate's relevant experience level, and the organization's target positioning — that helps hiring managers and HR make consistent, market-aligned, and internally equitable offers without defaulting to candidate-driven negotiation</w:t>
            </w:r>
          </w:p>
          <w:p>
            <w:pPr>
              <w:spacing w:after="40" w:before="40"/>
            </w:pPr>
            <w:r>
              <w:rPr>
                <w:rFonts w:ascii="Arial" w:cs="Arial" w:eastAsia="Arial" w:hAnsi="Arial"/>
                <w:color w:val="333333"/>
                <w:sz w:val="20"/>
                <w:szCs w:val="20"/>
              </w:rPr>
              <w:t xml:space="preserve">C. A legal document comparing all offers made in the last year for equity compliance purposes</w:t>
            </w:r>
          </w:p>
          <w:p>
            <w:pPr>
              <w:spacing w:after="40" w:before="40"/>
            </w:pPr>
            <w:r>
              <w:rPr>
                <w:rFonts w:ascii="Arial" w:cs="Arial" w:eastAsia="Arial" w:hAnsi="Arial"/>
                <w:color w:val="333333"/>
                <w:sz w:val="20"/>
                <w:szCs w:val="20"/>
              </w:rPr>
              <w:t xml:space="preserve">D. A matrix that automatically calculates a joining bonus based on the seniority of the role being hired</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A job offer matrix professionalizes the offer process. Rather than asking 'what is the candidate's current salary?' or 'what will it take to get them?', it grounds offers in the organization's pay structure and market position — reducing negotiation-driven inequity and improving internal consistency.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23</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a 'total fixed pay' measure in compensation benchmarking?</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base salary only, excluding all bonuses and benefits</w:t>
            </w:r>
          </w:p>
          <w:p>
            <w:pPr>
              <w:spacing w:after="40" w:before="40"/>
            </w:pPr>
            <w:r>
              <w:rPr>
                <w:rFonts w:ascii="Arial" w:cs="Arial" w:eastAsia="Arial" w:hAnsi="Arial"/>
                <w:color w:val="333333"/>
                <w:sz w:val="20"/>
                <w:szCs w:val="20"/>
              </w:rPr>
              <w:t xml:space="preserve">B. The sum of all employer payroll costs including social contributions and pension</w:t>
            </w:r>
          </w:p>
          <w:p>
            <w:pPr>
              <w:spacing w:after="40" w:before="40"/>
            </w:pPr>
            <w:r>
              <w:rPr>
                <w:rFonts w:ascii="Arial" w:cs="Arial" w:eastAsia="Arial" w:hAnsi="Arial"/>
                <w:color w:val="333333"/>
                <w:sz w:val="20"/>
                <w:szCs w:val="20"/>
              </w:rPr>
              <w:t xml:space="preserve">C. The sum of all guaranteed, non-performance-contingent cash elements an employee receives — typically base salary plus fixed allowances (e.g., car allowance, housing allowance) — used as a benchmarking reference point that captures guaranteed cash without the volatility of variable elements</w:t>
            </w:r>
          </w:p>
          <w:p>
            <w:pPr>
              <w:spacing w:after="40" w:before="40"/>
            </w:pPr>
            <w:r>
              <w:rPr>
                <w:rFonts w:ascii="Arial" w:cs="Arial" w:eastAsia="Arial" w:hAnsi="Arial"/>
                <w:color w:val="333333"/>
                <w:sz w:val="20"/>
                <w:szCs w:val="20"/>
              </w:rPr>
              <w:t xml:space="preserve">D. The maximum salary that can be paid at the top of the salary range for a given grade</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C</w:t>
            </w:r>
            <w:r>
              <w:rPr>
                <w:rFonts w:ascii="Arial" w:cs="Arial" w:eastAsia="Arial" w:hAnsi="Arial"/>
                <w:color w:val="444444"/>
                <w:sz w:val="18"/>
                <w:szCs w:val="18"/>
              </w:rPr>
              <w:t xml:space="preserve">    |    Total fixed pay is a useful benchmark in markets with significant allowance structures. Using base salary alone in those markets understates actual guaranteed cash. Using total cash includes variable elements that may be excluded in survey data. Total fixed pay provides a cleaner comparison of guaranteed compensation.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24</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a 'market lag strategy' in pay positioning?</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An approach of always being the highest payer in the market regardless of cost</w:t>
            </w:r>
          </w:p>
          <w:p>
            <w:pPr>
              <w:spacing w:after="40" w:before="40"/>
            </w:pPr>
            <w:r>
              <w:rPr>
                <w:rFonts w:ascii="Arial" w:cs="Arial" w:eastAsia="Arial" w:hAnsi="Arial"/>
                <w:color w:val="333333"/>
                <w:sz w:val="20"/>
                <w:szCs w:val="20"/>
              </w:rPr>
              <w:t xml:space="preserve">B. A strategy that uses salary survey data that is 3–5 years old to save on survey costs</w:t>
            </w:r>
          </w:p>
          <w:p>
            <w:pPr>
              <w:spacing w:after="40" w:before="40"/>
            </w:pPr>
            <w:r>
              <w:rPr>
                <w:rFonts w:ascii="Arial" w:cs="Arial" w:eastAsia="Arial" w:hAnsi="Arial"/>
                <w:color w:val="333333"/>
                <w:sz w:val="20"/>
                <w:szCs w:val="20"/>
              </w:rPr>
              <w:t xml:space="preserve">C. A pay approach where all employees are paid below market to save costs, expecting high turnover</w:t>
            </w:r>
          </w:p>
          <w:p>
            <w:pPr>
              <w:spacing w:after="40" w:before="40"/>
            </w:pPr>
            <w:r>
              <w:rPr>
                <w:rFonts w:ascii="Arial" w:cs="Arial" w:eastAsia="Arial" w:hAnsi="Arial"/>
                <w:color w:val="333333"/>
                <w:sz w:val="20"/>
                <w:szCs w:val="20"/>
              </w:rPr>
              <w:t xml:space="preserve">D. A deliberate pay positioning strategy where the organization targets below-market base pay but compensates through other reward elements — such as above-market benefits, equity, flexibility, or career development — typically used by organizations with compelling non-cash rewards or strong employer brands that can attract talent despite lower cash pay</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D</w:t>
            </w:r>
            <w:r>
              <w:rPr>
                <w:rFonts w:ascii="Arial" w:cs="Arial" w:eastAsia="Arial" w:hAnsi="Arial"/>
                <w:color w:val="444444"/>
                <w:sz w:val="18"/>
                <w:szCs w:val="18"/>
              </w:rPr>
              <w:t xml:space="preserve">    |    Market lag on base pay is a legitimate strategy when offset by genuine strengths elsewhere in the reward package. Tech startups offering equity, mission-driven organizations offering purpose, and companies with exceptional benefits or flexibility can attract talent below market cash — but only if those compensating rewards are real and communicated.</w:t>
            </w:r>
          </w:p>
        </w:tc>
      </w:tr>
    </w:tbl>
    <w:p>
      <w:pPr>
        <w:spacing w:after="200" w:before="0"/>
      </w:pPr>
      <w:r>
        <w:t xml:space="preserve"/>
      </w:r>
    </w:p>
    <w:p>
      <w:r>
        <w:br w:type="page"/>
      </w:r>
    </w:p>
    <w:p>
      <w:pPr>
        <w:shd w:fill="B84B4B" w:val="clear"/>
        <w:spacing w:after="0" w:before="480"/>
      </w:pPr>
      <w:r>
        <w:rPr>
          <w:rFonts w:ascii="Arial" w:cs="Arial" w:eastAsia="Arial" w:hAnsi="Arial"/>
          <w:b/>
          <w:bCs/>
          <w:color w:val="FFFFFF"/>
          <w:sz w:val="28"/>
          <w:szCs w:val="28"/>
        </w:rPr>
        <w:t xml:space="preserve">  Pay Equity  </w:t>
      </w:r>
    </w:p>
    <w:p>
      <w:pPr>
        <w:shd w:fill="B84B4B" w:val="clear"/>
        <w:spacing w:after="240" w:before="0"/>
      </w:pPr>
      <w:r>
        <w:rPr>
          <w:rFonts w:ascii="Arial" w:cs="Arial" w:eastAsia="Arial" w:hAnsi="Arial"/>
          <w:color w:val="FFFFFF"/>
          <w:sz w:val="18"/>
          <w:szCs w:val="18"/>
        </w:rPr>
        <w:t xml:space="preserve">  Questions Q25 – Q36</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25</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'proactive' pay equity management and how does it differ from 'reactive' approaches?</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Proactive management involves regular monitoring, governance controls, and structural interventions that prevent pay gaps from developing — rather than waiting for gaps to appear, be reported, or trigger grievances before acting. Reactive management addresses problems only after they have materialized and become visible</w:t>
            </w:r>
          </w:p>
          <w:p>
            <w:pPr>
              <w:spacing w:after="40" w:before="40"/>
            </w:pPr>
            <w:r>
              <w:rPr>
                <w:rFonts w:ascii="Arial" w:cs="Arial" w:eastAsia="Arial" w:hAnsi="Arial"/>
                <w:color w:val="333333"/>
                <w:sz w:val="20"/>
                <w:szCs w:val="20"/>
              </w:rPr>
              <w:t xml:space="preserve">B. Proactive pay equity means automatically increasing all salaries by the same percentage each year</w:t>
            </w:r>
          </w:p>
          <w:p>
            <w:pPr>
              <w:spacing w:after="40" w:before="40"/>
            </w:pPr>
            <w:r>
              <w:rPr>
                <w:rFonts w:ascii="Arial" w:cs="Arial" w:eastAsia="Arial" w:hAnsi="Arial"/>
                <w:color w:val="333333"/>
                <w:sz w:val="20"/>
                <w:szCs w:val="20"/>
              </w:rPr>
              <w:t xml:space="preserve">C. Reactive pay equity is always more effective because it addresses real problems rather than hypothetical ones</w:t>
            </w:r>
          </w:p>
          <w:p>
            <w:pPr>
              <w:spacing w:after="40" w:before="40"/>
            </w:pPr>
            <w:r>
              <w:rPr>
                <w:rFonts w:ascii="Arial" w:cs="Arial" w:eastAsia="Arial" w:hAnsi="Arial"/>
                <w:color w:val="333333"/>
                <w:sz w:val="20"/>
                <w:szCs w:val="20"/>
              </w:rPr>
              <w:t xml:space="preserve">D. Proactive management requires external consultants; reactive management can be handled internally</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A</w:t>
            </w:r>
            <w:r>
              <w:rPr>
                <w:rFonts w:ascii="Arial" w:cs="Arial" w:eastAsia="Arial" w:hAnsi="Arial"/>
                <w:color w:val="444444"/>
                <w:sz w:val="18"/>
                <w:szCs w:val="18"/>
              </w:rPr>
              <w:t xml:space="preserve">    |    The shift from reactive to proactive pay equity management is one of the most impactful governance improvements an organization can make. Regular monitoring, structured governance controls on offers and increases, and audit cycles that happen before problems compound — rather than after — are the hallmarks of mature pay equity practice.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26</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the EU Pay Transparency Directive and what does it require of employers?</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directive requiring all EU member states to publish every individual employee's salary on a public government website</w:t>
            </w:r>
          </w:p>
          <w:p>
            <w:pPr>
              <w:spacing w:after="40" w:before="40"/>
            </w:pPr>
            <w:r>
              <w:rPr>
                <w:rFonts w:ascii="Arial" w:cs="Arial" w:eastAsia="Arial" w:hAnsi="Arial"/>
                <w:color w:val="333333"/>
                <w:sz w:val="20"/>
                <w:szCs w:val="20"/>
              </w:rPr>
              <w:t xml:space="preserve">B. An EU legislative framework requiring employers to provide pay information to job applicants and employees, report gender pay gaps, conduct joint pay assessments when gaps exceed defined thresholds, and prohibit pay history questions — aimed at strengthening pay transparency and accelerating pay equity across EU member states</w:t>
            </w:r>
          </w:p>
          <w:p>
            <w:pPr>
              <w:spacing w:after="40" w:before="40"/>
            </w:pPr>
            <w:r>
              <w:rPr>
                <w:rFonts w:ascii="Arial" w:cs="Arial" w:eastAsia="Arial" w:hAnsi="Arial"/>
                <w:color w:val="333333"/>
                <w:sz w:val="20"/>
                <w:szCs w:val="20"/>
              </w:rPr>
              <w:t xml:space="preserve">C. A directive that sets a single minimum wage applicable across all EU countries</w:t>
            </w:r>
          </w:p>
          <w:p>
            <w:pPr>
              <w:spacing w:after="40" w:before="40"/>
            </w:pPr>
            <w:r>
              <w:rPr>
                <w:rFonts w:ascii="Arial" w:cs="Arial" w:eastAsia="Arial" w:hAnsi="Arial"/>
                <w:color w:val="333333"/>
                <w:sz w:val="20"/>
                <w:szCs w:val="20"/>
              </w:rPr>
              <w:t xml:space="preserve">D. A voluntary industry code of conduct for pay transparency that employers can choose to adopt or ignore</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The EU Pay Transparency Directive (effective 2026, to be transposed into national law) is one of the most significant pay equity legislative developments in decades. It creates binding obligations around pay information sharing, gap reporting, and remediation that go substantially beyond existing voluntary practice in most member states.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27</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the difference between a 'pay gap' and 'pay discrimination'?</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They are legally identical terms — a pay gap is automatically evidence of discrimination in all jurisdictions</w:t>
            </w:r>
          </w:p>
          <w:p>
            <w:pPr>
              <w:spacing w:after="40" w:before="40"/>
            </w:pPr>
            <w:r>
              <w:rPr>
                <w:rFonts w:ascii="Arial" w:cs="Arial" w:eastAsia="Arial" w:hAnsi="Arial"/>
                <w:color w:val="333333"/>
                <w:sz w:val="20"/>
                <w:szCs w:val="20"/>
              </w:rPr>
              <w:t xml:space="preserve">B. Pay discrimination is only relevant for gender differences; pay gaps apply to all demographic groups</w:t>
            </w:r>
          </w:p>
          <w:p>
            <w:pPr>
              <w:spacing w:after="40" w:before="40"/>
            </w:pPr>
            <w:r>
              <w:rPr>
                <w:rFonts w:ascii="Arial" w:cs="Arial" w:eastAsia="Arial" w:hAnsi="Arial"/>
                <w:color w:val="333333"/>
                <w:sz w:val="20"/>
                <w:szCs w:val="20"/>
              </w:rPr>
              <w:t xml:space="preserve">C. A pay gap is a statistical observation that two groups are paid differently on average — it may or may not indicate discrimination. Pay discrimination is an unlawful act: treating an individual less favourably in pay because of a protected characteristic such as gender, race, or disability. A gap can exist without discrimination and vice versa</w:t>
            </w:r>
          </w:p>
          <w:p>
            <w:pPr>
              <w:spacing w:after="40" w:before="40"/>
            </w:pPr>
            <w:r>
              <w:rPr>
                <w:rFonts w:ascii="Arial" w:cs="Arial" w:eastAsia="Arial" w:hAnsi="Arial"/>
                <w:color w:val="333333"/>
                <w:sz w:val="20"/>
                <w:szCs w:val="20"/>
              </w:rPr>
              <w:t xml:space="preserve">D. Pay discrimination only occurs when an employer intentionally decides to pay someone less — unconscious bias is never legally relevant</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C</w:t>
            </w:r>
            <w:r>
              <w:rPr>
                <w:rFonts w:ascii="Arial" w:cs="Arial" w:eastAsia="Arial" w:hAnsi="Arial"/>
                <w:color w:val="444444"/>
                <w:sz w:val="18"/>
                <w:szCs w:val="18"/>
              </w:rPr>
              <w:t xml:space="preserve">    |    This distinction matters enormously in both legal and communication contexts. A large unadjusted pay gap is not automatically evidence of discrimination — it may reflect occupational segregation, historical entry points, or different turnover patterns. But discrimination can exist even when average gaps appear small. Both require attention but through different lenses.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28</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Why might an organization track promotion rates by demographic group as part of pay equity analysis?</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Because promotion rates are legally required to be identical across all demographic groups</w:t>
            </w:r>
          </w:p>
          <w:p>
            <w:pPr>
              <w:spacing w:after="40" w:before="40"/>
            </w:pPr>
            <w:r>
              <w:rPr>
                <w:rFonts w:ascii="Arial" w:cs="Arial" w:eastAsia="Arial" w:hAnsi="Arial"/>
                <w:color w:val="333333"/>
                <w:sz w:val="20"/>
                <w:szCs w:val="20"/>
              </w:rPr>
              <w:t xml:space="preserve">B. Because the number of promotions drives the organization's total payroll cost</w:t>
            </w:r>
          </w:p>
          <w:p>
            <w:pPr>
              <w:spacing w:after="40" w:before="40"/>
            </w:pPr>
            <w:r>
              <w:rPr>
                <w:rFonts w:ascii="Arial" w:cs="Arial" w:eastAsia="Arial" w:hAnsi="Arial"/>
                <w:color w:val="333333"/>
                <w:sz w:val="20"/>
                <w:szCs w:val="20"/>
              </w:rPr>
              <w:t xml:space="preserve">C. Because promotion rates are only relevant in organizations with formal career frameworks</w:t>
            </w:r>
          </w:p>
          <w:p>
            <w:pPr>
              <w:spacing w:after="40" w:before="40"/>
            </w:pPr>
            <w:r>
              <w:rPr>
                <w:rFonts w:ascii="Arial" w:cs="Arial" w:eastAsia="Arial" w:hAnsi="Arial"/>
                <w:color w:val="333333"/>
                <w:sz w:val="20"/>
                <w:szCs w:val="20"/>
              </w:rPr>
              <w:t xml:space="preserve">D. Because systematic differences in promotion rates across demographic groups can be a root cause of pay gaps — if certain groups are less likely to be promoted into higher-paying roles, even without within-grade pay inequity, the overall pay gap will persist. Tracking promotion rates identifies this structural driver</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D</w:t>
            </w:r>
            <w:r>
              <w:rPr>
                <w:rFonts w:ascii="Arial" w:cs="Arial" w:eastAsia="Arial" w:hAnsi="Arial"/>
                <w:color w:val="444444"/>
                <w:sz w:val="18"/>
                <w:szCs w:val="18"/>
              </w:rPr>
              <w:t xml:space="preserve">    |    Representation at higher grades is often the biggest driver of aggregate pay gaps. If women, ethnic minorities, or other groups are systematically less likely to reach senior levels, the average pay gap will be large even if pay within each grade is perfectly equitable. Fixing this requires promotion and pipeline interventions, not just pay corrections.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29</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a 'pay equity impact assessment' and when should it be conducted?</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structured review of the potential pay equity implications of a proposed change to pay policy, incentive design, benefit restructuring, or salary structure — conducted before implementation to identify and mitigate unintended differential impacts on specific employee groups before they become embedded problems</w:t>
            </w:r>
          </w:p>
          <w:p>
            <w:pPr>
              <w:spacing w:after="40" w:before="40"/>
            </w:pPr>
            <w:r>
              <w:rPr>
                <w:rFonts w:ascii="Arial" w:cs="Arial" w:eastAsia="Arial" w:hAnsi="Arial"/>
                <w:color w:val="333333"/>
                <w:sz w:val="20"/>
                <w:szCs w:val="20"/>
              </w:rPr>
              <w:t xml:space="preserve">B. An assessment of whether employees are satisfied with the organization's pay equity initiatives</w:t>
            </w:r>
          </w:p>
          <w:p>
            <w:pPr>
              <w:spacing w:after="40" w:before="40"/>
            </w:pPr>
            <w:r>
              <w:rPr>
                <w:rFonts w:ascii="Arial" w:cs="Arial" w:eastAsia="Arial" w:hAnsi="Arial"/>
                <w:color w:val="333333"/>
                <w:sz w:val="20"/>
                <w:szCs w:val="20"/>
              </w:rPr>
              <w:t xml:space="preserve">C. An audit conducted by external lawyers following a pay discrimination complaint</w:t>
            </w:r>
          </w:p>
          <w:p>
            <w:pPr>
              <w:spacing w:after="40" w:before="40"/>
            </w:pPr>
            <w:r>
              <w:rPr>
                <w:rFonts w:ascii="Arial" w:cs="Arial" w:eastAsia="Arial" w:hAnsi="Arial"/>
                <w:color w:val="333333"/>
                <w:sz w:val="20"/>
                <w:szCs w:val="20"/>
              </w:rPr>
              <w:t xml:space="preserve">D. An annual statistical report submitted to regulators documenting the organization's pay gaps</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A</w:t>
            </w:r>
            <w:r>
              <w:rPr>
                <w:rFonts w:ascii="Arial" w:cs="Arial" w:eastAsia="Arial" w:hAnsi="Arial"/>
                <w:color w:val="444444"/>
                <w:sz w:val="18"/>
                <w:szCs w:val="18"/>
              </w:rPr>
              <w:t xml:space="preserve">    |    Pay equity impact assessment is a proactive governance tool — analogous to environmental or equality impact assessments in other domains. Before changing a merit matrix, restructuring a bonus plan, or redesigning a grade structure, assessing whether the change will disproportionately advantage or disadvantage specific groups prevents problems that are far harder to correct after implementation.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30</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'pay equity benchmarking' and how does it support governance?</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Comparing the organization's salary ranges to external market data to assess competitiveness</w:t>
            </w:r>
          </w:p>
          <w:p>
            <w:pPr>
              <w:spacing w:after="40" w:before="40"/>
            </w:pPr>
            <w:r>
              <w:rPr>
                <w:rFonts w:ascii="Arial" w:cs="Arial" w:eastAsia="Arial" w:hAnsi="Arial"/>
                <w:color w:val="333333"/>
                <w:sz w:val="20"/>
                <w:szCs w:val="20"/>
              </w:rPr>
              <w:t xml:space="preserve">B. Comparing the organization's pay gaps — both unadjusted and adjusted — against industry peers, sector averages, or published benchmarks to understand relative performance and set meaningful improvement targets, providing context for internal findings and supporting credible goal-setting</w:t>
            </w:r>
          </w:p>
          <w:p>
            <w:pPr>
              <w:spacing w:after="40" w:before="40"/>
            </w:pPr>
            <w:r>
              <w:rPr>
                <w:rFonts w:ascii="Arial" w:cs="Arial" w:eastAsia="Arial" w:hAnsi="Arial"/>
                <w:color w:val="333333"/>
                <w:sz w:val="20"/>
                <w:szCs w:val="20"/>
              </w:rPr>
              <w:t xml:space="preserve">C. Checking that each employee's pay is within the appropriate grade's salary range</w:t>
            </w:r>
          </w:p>
          <w:p>
            <w:pPr>
              <w:spacing w:after="40" w:before="40"/>
            </w:pPr>
            <w:r>
              <w:rPr>
                <w:rFonts w:ascii="Arial" w:cs="Arial" w:eastAsia="Arial" w:hAnsi="Arial"/>
                <w:color w:val="333333"/>
                <w:sz w:val="20"/>
                <w:szCs w:val="20"/>
              </w:rPr>
              <w:t xml:space="preserve">D. Comparing the pay of individual employees in the same role to identify outliers</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Knowing your own pay gap is informative; knowing how it compares to your sector is strategic. Benchmarking pay equity performance helps organizations identify whether their gaps are typical or atypical for their industry, set realistic improvement targets, and make more compelling external communications about their equity journey.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31</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a 'salary history ban' and why have some jurisdictions introduced them?</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policy preventing employees from ever being paid more than their previous employer paid them</w:t>
            </w:r>
          </w:p>
          <w:p>
            <w:pPr>
              <w:spacing w:after="40" w:before="40"/>
            </w:pPr>
            <w:r>
              <w:rPr>
                <w:rFonts w:ascii="Arial" w:cs="Arial" w:eastAsia="Arial" w:hAnsi="Arial"/>
                <w:color w:val="333333"/>
                <w:sz w:val="20"/>
                <w:szCs w:val="20"/>
              </w:rPr>
              <w:t xml:space="preserve">B. A ban on organizations publishing any historical salary information in annual reports</w:t>
            </w:r>
          </w:p>
          <w:p>
            <w:pPr>
              <w:spacing w:after="40" w:before="40"/>
            </w:pPr>
            <w:r>
              <w:rPr>
                <w:rFonts w:ascii="Arial" w:cs="Arial" w:eastAsia="Arial" w:hAnsi="Arial"/>
                <w:color w:val="333333"/>
                <w:sz w:val="20"/>
                <w:szCs w:val="20"/>
              </w:rPr>
              <w:t xml:space="preserve">C. A legal prohibition on employers asking candidates about their salary history during the hiring process — based on evidence that historical salary questions perpetuate pay gaps by anchoring offers to previously discriminatory pay levels rather than to the value of the role being filled</w:t>
            </w:r>
          </w:p>
          <w:p>
            <w:pPr>
              <w:spacing w:after="40" w:before="40"/>
            </w:pPr>
            <w:r>
              <w:rPr>
                <w:rFonts w:ascii="Arial" w:cs="Arial" w:eastAsia="Arial" w:hAnsi="Arial"/>
                <w:color w:val="333333"/>
                <w:sz w:val="20"/>
                <w:szCs w:val="20"/>
              </w:rPr>
              <w:t xml:space="preserve">D. A requirement that all salary data older than five years must be deleted from HR systems</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C</w:t>
            </w:r>
            <w:r>
              <w:rPr>
                <w:rFonts w:ascii="Arial" w:cs="Arial" w:eastAsia="Arial" w:hAnsi="Arial"/>
                <w:color w:val="444444"/>
                <w:sz w:val="18"/>
                <w:szCs w:val="18"/>
              </w:rPr>
              <w:t xml:space="preserve">    |    Salary history bans address a structural mechanism through which historical pay discrimination is perpetuated. When employers anchor offers to a candidate's current salary, they risk carrying forward inequities from previous employers. Role-based pricing — anchored to market data and internal equity — produces fairer outcomes.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32</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does 'statistical significance' mean in the context of a pay equity analysis, and why does it matter?</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It means the pay gap is large enough to require immediate disciplinary action against managers</w:t>
            </w:r>
          </w:p>
          <w:p>
            <w:pPr>
              <w:spacing w:after="40" w:before="40"/>
            </w:pPr>
            <w:r>
              <w:rPr>
                <w:rFonts w:ascii="Arial" w:cs="Arial" w:eastAsia="Arial" w:hAnsi="Arial"/>
                <w:color w:val="333333"/>
                <w:sz w:val="20"/>
                <w:szCs w:val="20"/>
              </w:rPr>
              <w:t xml:space="preserve">B. It confirms that the pay gap is entirely explained by legitimate factors such as experience and performance</w:t>
            </w:r>
          </w:p>
          <w:p>
            <w:pPr>
              <w:spacing w:after="40" w:before="40"/>
            </w:pPr>
            <w:r>
              <w:rPr>
                <w:rFonts w:ascii="Arial" w:cs="Arial" w:eastAsia="Arial" w:hAnsi="Arial"/>
                <w:color w:val="333333"/>
                <w:sz w:val="20"/>
                <w:szCs w:val="20"/>
              </w:rPr>
              <w:t xml:space="preserve">C. It proves that the organization has engaged in intentional pay discrimination</w:t>
            </w:r>
          </w:p>
          <w:p>
            <w:pPr>
              <w:spacing w:after="40" w:before="40"/>
            </w:pPr>
            <w:r>
              <w:rPr>
                <w:rFonts w:ascii="Arial" w:cs="Arial" w:eastAsia="Arial" w:hAnsi="Arial"/>
                <w:color w:val="333333"/>
                <w:sz w:val="20"/>
                <w:szCs w:val="20"/>
              </w:rPr>
              <w:t xml:space="preserve">D. It refers to whether the observed pay gap is large enough — relative to the sample size — that it is unlikely to have occurred by chance, making it a reliable signal of a genuine systematic difference rather than random variation. Small gaps in small groups may not be statistically significant; larger gaps or those in larger populations typically are</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D</w:t>
            </w:r>
            <w:r>
              <w:rPr>
                <w:rFonts w:ascii="Arial" w:cs="Arial" w:eastAsia="Arial" w:hAnsi="Arial"/>
                <w:color w:val="444444"/>
                <w:sz w:val="18"/>
                <w:szCs w:val="18"/>
              </w:rPr>
              <w:t xml:space="preserve">    |    Statistical significance testing prevents organizations from over-reacting to noise and under-reacting to real signals. A 3% gap in a team of 8 employees may reflect random variation; the same gap across 800 employees in the same function almost certainly reflects a systematic pattern requiring investigation.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33</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a 'pay equity closure plan' and what should it contain?</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time-bound action plan specifying which pay gaps will be addressed, in what sequence, at what cost, through what specific interventions (individual corrections, process changes, governance reforms), with named accountabilities and review milestones — translating the findings of a pay equity analysis into concrete, measurable commitments</w:t>
            </w:r>
          </w:p>
          <w:p>
            <w:pPr>
              <w:spacing w:after="40" w:before="40"/>
            </w:pPr>
            <w:r>
              <w:rPr>
                <w:rFonts w:ascii="Arial" w:cs="Arial" w:eastAsia="Arial" w:hAnsi="Arial"/>
                <w:color w:val="333333"/>
                <w:sz w:val="20"/>
                <w:szCs w:val="20"/>
              </w:rPr>
              <w:t xml:space="preserve">B. A plan for gradually reducing all employee salaries until they are equal</w:t>
            </w:r>
          </w:p>
          <w:p>
            <w:pPr>
              <w:spacing w:after="40" w:before="40"/>
            </w:pPr>
            <w:r>
              <w:rPr>
                <w:rFonts w:ascii="Arial" w:cs="Arial" w:eastAsia="Arial" w:hAnsi="Arial"/>
                <w:color w:val="333333"/>
                <w:sz w:val="20"/>
                <w:szCs w:val="20"/>
              </w:rPr>
              <w:t xml:space="preserve">C. A legal settlement agreement resolving a pay discrimination claim brought by an employee</w:t>
            </w:r>
          </w:p>
          <w:p>
            <w:pPr>
              <w:spacing w:after="40" w:before="40"/>
            </w:pPr>
            <w:r>
              <w:rPr>
                <w:rFonts w:ascii="Arial" w:cs="Arial" w:eastAsia="Arial" w:hAnsi="Arial"/>
                <w:color w:val="333333"/>
                <w:sz w:val="20"/>
                <w:szCs w:val="20"/>
              </w:rPr>
              <w:t xml:space="preserve">D. A document submitted to regulators confirming that all pay gaps have been eliminated</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A</w:t>
            </w:r>
            <w:r>
              <w:rPr>
                <w:rFonts w:ascii="Arial" w:cs="Arial" w:eastAsia="Arial" w:hAnsi="Arial"/>
                <w:color w:val="444444"/>
                <w:sz w:val="18"/>
                <w:szCs w:val="18"/>
              </w:rPr>
              <w:t xml:space="preserve">    |    A pay equity closure plan turns analysis into action. Without it, pay equity findings become reports that gather dust. With it, HR has a governance mechanism to track progress, demonstrate accountability to leadership and regulators, and maintain momentum across multiple review cycles until gaps are durably closed.</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34</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Why is it important to monitor whether pay equity corrections 'hold' in subsequent review cycles?</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Because corrections automatically reverse if not monitored and documented every month</w:t>
            </w:r>
          </w:p>
          <w:p>
            <w:pPr>
              <w:spacing w:after="40" w:before="40"/>
            </w:pPr>
            <w:r>
              <w:rPr>
                <w:rFonts w:ascii="Arial" w:cs="Arial" w:eastAsia="Arial" w:hAnsi="Arial"/>
                <w:color w:val="333333"/>
                <w:sz w:val="20"/>
                <w:szCs w:val="20"/>
              </w:rPr>
              <w:t xml:space="preserve">B. Because merit and promotion cycles — if not governed with equity in mind — can re-create gaps in corrected employees' pay within 2–3 years, particularly if those employees continue to receive lower merit increases or are passed over for promotion relative to peers</w:t>
            </w:r>
          </w:p>
          <w:p>
            <w:pPr>
              <w:spacing w:after="40" w:before="40"/>
            </w:pPr>
            <w:r>
              <w:rPr>
                <w:rFonts w:ascii="Arial" w:cs="Arial" w:eastAsia="Arial" w:hAnsi="Arial"/>
                <w:color w:val="333333"/>
                <w:sz w:val="20"/>
                <w:szCs w:val="20"/>
              </w:rPr>
              <w:t xml:space="preserve">C. Because regulators require quarterly reporting on the status of all individual pay corrections</w:t>
            </w:r>
          </w:p>
          <w:p>
            <w:pPr>
              <w:spacing w:after="40" w:before="40"/>
            </w:pPr>
            <w:r>
              <w:rPr>
                <w:rFonts w:ascii="Arial" w:cs="Arial" w:eastAsia="Arial" w:hAnsi="Arial"/>
                <w:color w:val="333333"/>
                <w:sz w:val="20"/>
                <w:szCs w:val="20"/>
              </w:rPr>
              <w:t xml:space="preserve">D. Because corrected employees are legally entitled to additional compensation if their gaps return</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Correction sustainability is a common failure point in pay equity programs. An employee receives a correction in Year 1 — then receives a 2% merit increase against a peer's 4% the following year. Within 2–3 cycles, the gap has returned. Effective governance tracks corrected employees separately through subsequent cycles.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35</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'pay equity by design' as an approach to building fair reward systems?</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An automated software tool that guarantees equal pay for all employees regardless of role</w:t>
            </w:r>
          </w:p>
          <w:p>
            <w:pPr>
              <w:spacing w:after="40" w:before="40"/>
            </w:pPr>
            <w:r>
              <w:rPr>
                <w:rFonts w:ascii="Arial" w:cs="Arial" w:eastAsia="Arial" w:hAnsi="Arial"/>
                <w:color w:val="333333"/>
                <w:sz w:val="20"/>
                <w:szCs w:val="20"/>
              </w:rPr>
              <w:t xml:space="preserve">B. A retrospective process for identifying and correcting pay gaps after they have developed</w:t>
            </w:r>
          </w:p>
          <w:p>
            <w:pPr>
              <w:spacing w:after="40" w:before="40"/>
            </w:pPr>
            <w:r>
              <w:rPr>
                <w:rFonts w:ascii="Arial" w:cs="Arial" w:eastAsia="Arial" w:hAnsi="Arial"/>
                <w:color w:val="333333"/>
                <w:sz w:val="20"/>
                <w:szCs w:val="20"/>
              </w:rPr>
              <w:t xml:space="preserve">C. An approach where pay equity principles are embedded into the design of every reward process from the outset — including how offers are made, how merit is allocated, how promotions are managed, and how exceptions are approved — so that equitable outcomes are built in rather than bolted on after the fact</w:t>
            </w:r>
          </w:p>
          <w:p>
            <w:pPr>
              <w:spacing w:after="40" w:before="40"/>
            </w:pPr>
            <w:r>
              <w:rPr>
                <w:rFonts w:ascii="Arial" w:cs="Arial" w:eastAsia="Arial" w:hAnsi="Arial"/>
                <w:color w:val="333333"/>
                <w:sz w:val="20"/>
                <w:szCs w:val="20"/>
              </w:rPr>
              <w:t xml:space="preserve">D. A regulatory requirement in the European Union for all organizations with more than 50 employees</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C</w:t>
            </w:r>
            <w:r>
              <w:rPr>
                <w:rFonts w:ascii="Arial" w:cs="Arial" w:eastAsia="Arial" w:hAnsi="Arial"/>
                <w:color w:val="444444"/>
                <w:sz w:val="18"/>
                <w:szCs w:val="18"/>
              </w:rPr>
              <w:t xml:space="preserve">    |    'Pay equity by design' shifts the focus from correcting past decisions to preventing future ones. When equity considerations are embedded into process design — offer ranges, merit matrices, promotion criteria, exception governance — the system itself produces equitable outcomes without requiring individual case-by-case scrutiny.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36</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the role of a pay equity 'steering group' or governance committee?</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group of senior employees who set their own pay levels independently of HR</w:t>
            </w:r>
          </w:p>
          <w:p>
            <w:pPr>
              <w:spacing w:after="40" w:before="40"/>
            </w:pPr>
            <w:r>
              <w:rPr>
                <w:rFonts w:ascii="Arial" w:cs="Arial" w:eastAsia="Arial" w:hAnsi="Arial"/>
                <w:color w:val="333333"/>
                <w:sz w:val="20"/>
                <w:szCs w:val="20"/>
              </w:rPr>
              <w:t xml:space="preserve">B. An external regulatory body that oversees pay equity compliance in an industry</w:t>
            </w:r>
          </w:p>
          <w:p>
            <w:pPr>
              <w:spacing w:after="40" w:before="40"/>
            </w:pPr>
            <w:r>
              <w:rPr>
                <w:rFonts w:ascii="Arial" w:cs="Arial" w:eastAsia="Arial" w:hAnsi="Arial"/>
                <w:color w:val="333333"/>
                <w:sz w:val="20"/>
                <w:szCs w:val="20"/>
              </w:rPr>
              <w:t xml:space="preserve">C. A committee that handles individual employee pay complaints and resolves grievances</w:t>
            </w:r>
          </w:p>
          <w:p>
            <w:pPr>
              <w:spacing w:after="40" w:before="40"/>
            </w:pPr>
            <w:r>
              <w:rPr>
                <w:rFonts w:ascii="Arial" w:cs="Arial" w:eastAsia="Arial" w:hAnsi="Arial"/>
                <w:color w:val="333333"/>
                <w:sz w:val="20"/>
                <w:szCs w:val="20"/>
              </w:rPr>
              <w:t xml:space="preserve">D. A cross-functional group — typically including HR, finance, legal, and business leaders — responsible for overseeing the pay equity program: commissioning analysis, reviewing findings, approving remediation plans, allocating correction budgets, tracking progress, and ensuring accountability at the organizational level</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D</w:t>
            </w:r>
            <w:r>
              <w:rPr>
                <w:rFonts w:ascii="Arial" w:cs="Arial" w:eastAsia="Arial" w:hAnsi="Arial"/>
                <w:color w:val="444444"/>
                <w:sz w:val="18"/>
                <w:szCs w:val="18"/>
              </w:rPr>
              <w:t xml:space="preserve">    |    Pay equity is too important and too complex for HR alone. A steering group that includes finance (for budget), legal (for compliance), and business leaders (for accountability and culture) ensures the program has organizational authority, adequate resources, and genuine commitment beyond the HR function.</w:t>
            </w:r>
          </w:p>
        </w:tc>
      </w:tr>
    </w:tbl>
    <w:p>
      <w:pPr>
        <w:spacing w:after="200" w:before="0"/>
      </w:pPr>
      <w:r>
        <w:t xml:space="preserve"/>
      </w:r>
    </w:p>
    <w:p>
      <w:r>
        <w:br w:type="page"/>
      </w:r>
    </w:p>
    <w:p>
      <w:pPr>
        <w:shd w:fill="6B4C9A" w:val="clear"/>
        <w:spacing w:after="0" w:before="480"/>
      </w:pPr>
      <w:r>
        <w:rPr>
          <w:rFonts w:ascii="Arial" w:cs="Arial" w:eastAsia="Arial" w:hAnsi="Arial"/>
          <w:b/>
          <w:bCs/>
          <w:color w:val="FFFFFF"/>
          <w:sz w:val="28"/>
          <w:szCs w:val="28"/>
        </w:rPr>
        <w:t xml:space="preserve">  Job Evaluation &amp; Market Pricing  </w:t>
      </w:r>
    </w:p>
    <w:p>
      <w:pPr>
        <w:shd w:fill="6B4C9A" w:val="clear"/>
        <w:spacing w:after="240" w:before="0"/>
      </w:pPr>
      <w:r>
        <w:rPr>
          <w:rFonts w:ascii="Arial" w:cs="Arial" w:eastAsia="Arial" w:hAnsi="Arial"/>
          <w:color w:val="FFFFFF"/>
          <w:sz w:val="18"/>
          <w:szCs w:val="18"/>
        </w:rPr>
        <w:t xml:space="preserve">  Questions Q37 – Q48</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37</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'grade creep' and why is it a governance risk?</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gradual upward drift of roles into higher grades over time — driven by advocacy from managers, title inflation, or incremental additions to job descriptions — without genuine increases in role complexity or accountability, resulting in an inflated grade structure that no longer accurately reflects role sizes and inflates the salary budget</w:t>
            </w:r>
          </w:p>
          <w:p>
            <w:pPr>
              <w:spacing w:after="40" w:before="40"/>
            </w:pPr>
            <w:r>
              <w:rPr>
                <w:rFonts w:ascii="Arial" w:cs="Arial" w:eastAsia="Arial" w:hAnsi="Arial"/>
                <w:color w:val="333333"/>
                <w:sz w:val="20"/>
                <w:szCs w:val="20"/>
              </w:rPr>
              <w:t xml:space="preserve">B. When salary ranges are updated so frequently that employees cannot track their position within the range</w:t>
            </w:r>
          </w:p>
          <w:p>
            <w:pPr>
              <w:spacing w:after="40" w:before="40"/>
            </w:pPr>
            <w:r>
              <w:rPr>
                <w:rFonts w:ascii="Arial" w:cs="Arial" w:eastAsia="Arial" w:hAnsi="Arial"/>
                <w:color w:val="333333"/>
                <w:sz w:val="20"/>
                <w:szCs w:val="20"/>
              </w:rPr>
              <w:t xml:space="preserve">C. The process by which junior employees are promoted too quickly to senior grades</w:t>
            </w:r>
          </w:p>
          <w:p>
            <w:pPr>
              <w:spacing w:after="40" w:before="40"/>
            </w:pPr>
            <w:r>
              <w:rPr>
                <w:rFonts w:ascii="Arial" w:cs="Arial" w:eastAsia="Arial" w:hAnsi="Arial"/>
                <w:color w:val="333333"/>
                <w:sz w:val="20"/>
                <w:szCs w:val="20"/>
              </w:rPr>
              <w:t xml:space="preserve">D. When market salary data causes all grades to be repositioned upward simultaneously</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A</w:t>
            </w:r>
            <w:r>
              <w:rPr>
                <w:rFonts w:ascii="Arial" w:cs="Arial" w:eastAsia="Arial" w:hAnsi="Arial"/>
                <w:color w:val="444444"/>
                <w:sz w:val="18"/>
                <w:szCs w:val="18"/>
              </w:rPr>
              <w:t xml:space="preserve">    |    Grade creep is one of the most common and costly failures of job evaluation governance. Without periodic recalibration and robust challenge to upgrade requests, structures balloon — creating salary cost pressure, internal inequity between rigorously and leniently evaluated functions, and a loss of trust in the grading system's integrity.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38</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the 'Hay method' of job evaluation and what factors does it assess?</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market pricing approach that uses only published salary survey data to determine job grades without any internal assessment</w:t>
            </w:r>
          </w:p>
          <w:p>
            <w:pPr>
              <w:spacing w:after="40" w:before="40"/>
            </w:pPr>
            <w:r>
              <w:rPr>
                <w:rFonts w:ascii="Arial" w:cs="Arial" w:eastAsia="Arial" w:hAnsi="Arial"/>
                <w:color w:val="333333"/>
                <w:sz w:val="20"/>
                <w:szCs w:val="20"/>
              </w:rPr>
              <w:t xml:space="preserve">B. A proprietary point-factor job evaluation methodology developed by Hay (now Korn Ferry) that assesses roles on three main factors: Know-How (the total of all knowledge and skills required), Problem Solving (the complexity and novelty of thinking required), and Accountability (the impact and responsibility of the role for results)</w:t>
            </w:r>
          </w:p>
          <w:p>
            <w:pPr>
              <w:spacing w:after="40" w:before="40"/>
            </w:pPr>
            <w:r>
              <w:rPr>
                <w:rFonts w:ascii="Arial" w:cs="Arial" w:eastAsia="Arial" w:hAnsi="Arial"/>
                <w:color w:val="333333"/>
                <w:sz w:val="20"/>
                <w:szCs w:val="20"/>
              </w:rPr>
              <w:t xml:space="preserve">C. A ranking method where all jobs are sorted from smallest to largest by a panel of managers without defined criteria</w:t>
            </w:r>
          </w:p>
          <w:p>
            <w:pPr>
              <w:spacing w:after="40" w:before="40"/>
            </w:pPr>
            <w:r>
              <w:rPr>
                <w:rFonts w:ascii="Arial" w:cs="Arial" w:eastAsia="Arial" w:hAnsi="Arial"/>
                <w:color w:val="333333"/>
                <w:sz w:val="20"/>
                <w:szCs w:val="20"/>
              </w:rPr>
              <w:t xml:space="preserve">D. A job evaluation approach that grades roles based primarily on the number of people they manage</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The Hay method is one of the most widely used proprietary job evaluation systems globally. Its three-factor structure — Know-How, Problem Solving, Accountability — is designed to be applicable across all types and levels of roles. It produces a total 'Hay points' score that can be used for grading and global benchmarking through Korn Ferry's survey data.</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39</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a 'benchmark job' in the context of salary survey participation?</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highest-paid role in the organization, used as the reference point for all other pay decisions</w:t>
            </w:r>
          </w:p>
          <w:p>
            <w:pPr>
              <w:spacing w:after="40" w:before="40"/>
            </w:pPr>
            <w:r>
              <w:rPr>
                <w:rFonts w:ascii="Arial" w:cs="Arial" w:eastAsia="Arial" w:hAnsi="Arial"/>
                <w:color w:val="333333"/>
                <w:sz w:val="20"/>
                <w:szCs w:val="20"/>
              </w:rPr>
              <w:t xml:space="preserve">B. A role created specifically for salary survey comparison purposes that does not exist in normal operations</w:t>
            </w:r>
          </w:p>
          <w:p>
            <w:pPr>
              <w:spacing w:after="40" w:before="40"/>
            </w:pPr>
            <w:r>
              <w:rPr>
                <w:rFonts w:ascii="Arial" w:cs="Arial" w:eastAsia="Arial" w:hAnsi="Arial"/>
                <w:color w:val="333333"/>
                <w:sz w:val="20"/>
                <w:szCs w:val="20"/>
              </w:rPr>
              <w:t xml:space="preserve">C. A well-defined, commonly occurring role whose responsibilities and scope are sufficiently stable and widespread across organizations to be meaningfully compared in salary surveys — used as an anchor for pricing both the benchmark role itself and similar internal roles</w:t>
            </w:r>
          </w:p>
          <w:p>
            <w:pPr>
              <w:spacing w:after="40" w:before="40"/>
            </w:pPr>
            <w:r>
              <w:rPr>
                <w:rFonts w:ascii="Arial" w:cs="Arial" w:eastAsia="Arial" w:hAnsi="Arial"/>
                <w:color w:val="333333"/>
                <w:sz w:val="20"/>
                <w:szCs w:val="20"/>
              </w:rPr>
              <w:t xml:space="preserve">D. The job with the median salary in the organization's salary structure</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C</w:t>
            </w:r>
            <w:r>
              <w:rPr>
                <w:rFonts w:ascii="Arial" w:cs="Arial" w:eastAsia="Arial" w:hAnsi="Arial"/>
                <w:color w:val="444444"/>
                <w:sz w:val="18"/>
                <w:szCs w:val="18"/>
              </w:rPr>
              <w:t xml:space="preserve">    |    Benchmark jobs are the foundation of market pricing. They must be roles that exist across multiple organizations with comparable scope — enabling meaningful external comparison. Non-benchmark (or 'slotted') roles are priced by reference to benchmark jobs of similar evaluated size rather than being directly compared in surveys.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40</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a 'market data aging factor' and how is it applied?</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discount applied to salary survey data from surveys conducted more than three years ago, making them ineligible for use</w:t>
            </w:r>
          </w:p>
          <w:p>
            <w:pPr>
              <w:spacing w:after="40" w:before="40"/>
            </w:pPr>
            <w:r>
              <w:rPr>
                <w:rFonts w:ascii="Arial" w:cs="Arial" w:eastAsia="Arial" w:hAnsi="Arial"/>
                <w:color w:val="333333"/>
                <w:sz w:val="20"/>
                <w:szCs w:val="20"/>
              </w:rPr>
              <w:t xml:space="preserve">B. A correction applied when a role has changed significantly since the last market pricing exercise</w:t>
            </w:r>
          </w:p>
          <w:p>
            <w:pPr>
              <w:spacing w:after="40" w:before="40"/>
            </w:pPr>
            <w:r>
              <w:rPr>
                <w:rFonts w:ascii="Arial" w:cs="Arial" w:eastAsia="Arial" w:hAnsi="Arial"/>
                <w:color w:val="333333"/>
                <w:sz w:val="20"/>
                <w:szCs w:val="20"/>
              </w:rPr>
              <w:t xml:space="preserve">C. A statistical adjustment that accounts for differences in company size between the survey participants and the benchmarking organization</w:t>
            </w:r>
          </w:p>
          <w:p>
            <w:pPr>
              <w:spacing w:after="40" w:before="40"/>
            </w:pPr>
            <w:r>
              <w:rPr>
                <w:rFonts w:ascii="Arial" w:cs="Arial" w:eastAsia="Arial" w:hAnsi="Arial"/>
                <w:color w:val="333333"/>
                <w:sz w:val="20"/>
                <w:szCs w:val="20"/>
              </w:rPr>
              <w:t xml:space="preserve">D. An annualized adjustment factor — typically based on estimated market pay movement — applied to historical survey data to project what the market level would be at the date of the pay decision, compensating for the lag between data collection and use</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D</w:t>
            </w:r>
            <w:r>
              <w:rPr>
                <w:rFonts w:ascii="Arial" w:cs="Arial" w:eastAsia="Arial" w:hAnsi="Arial"/>
                <w:color w:val="444444"/>
                <w:sz w:val="18"/>
                <w:szCs w:val="18"/>
              </w:rPr>
              <w:t xml:space="preserve">    |    Without aging, organizations benchmark against pay levels that may be 6–18 months out of date. An aging factor of 3% per annum applied to data collected 12 months ago projects the data forward to current market levels — improving decision quality and ensuring pay decisions reflect current rather than historical market conditions.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41</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'internal equity' tension in job evaluation and market pricing?</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conflict that arises when market data shows that a role should be paid significantly more (or less) than its internal evaluation score suggests — for example, when a critical technical skill commands a premium in the market that the evaluation framework does not fully capture, requiring HR to balance internal consistency with external competitiveness</w:t>
            </w:r>
          </w:p>
          <w:p>
            <w:pPr>
              <w:spacing w:after="40" w:before="40"/>
            </w:pPr>
            <w:r>
              <w:rPr>
                <w:rFonts w:ascii="Arial" w:cs="Arial" w:eastAsia="Arial" w:hAnsi="Arial"/>
                <w:color w:val="333333"/>
                <w:sz w:val="20"/>
                <w:szCs w:val="20"/>
              </w:rPr>
              <w:t xml:space="preserve">B. A legal dispute between employees about the fairness of their relative pay levels</w:t>
            </w:r>
          </w:p>
          <w:p>
            <w:pPr>
              <w:spacing w:after="40" w:before="40"/>
            </w:pPr>
            <w:r>
              <w:rPr>
                <w:rFonts w:ascii="Arial" w:cs="Arial" w:eastAsia="Arial" w:hAnsi="Arial"/>
                <w:color w:val="333333"/>
                <w:sz w:val="20"/>
                <w:szCs w:val="20"/>
              </w:rPr>
              <w:t xml:space="preserve">C. The disagreement between HR and managers about which grade a role should be assigned</w:t>
            </w:r>
          </w:p>
          <w:p>
            <w:pPr>
              <w:spacing w:after="40" w:before="40"/>
            </w:pPr>
            <w:r>
              <w:rPr>
                <w:rFonts w:ascii="Arial" w:cs="Arial" w:eastAsia="Arial" w:hAnsi="Arial"/>
                <w:color w:val="333333"/>
                <w:sz w:val="20"/>
                <w:szCs w:val="20"/>
              </w:rPr>
              <w:t xml:space="preserve">D. A conflict between two employees who believe they are performing the same work but are graded differently</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A</w:t>
            </w:r>
            <w:r>
              <w:rPr>
                <w:rFonts w:ascii="Arial" w:cs="Arial" w:eastAsia="Arial" w:hAnsi="Arial"/>
                <w:color w:val="444444"/>
                <w:sz w:val="18"/>
                <w:szCs w:val="18"/>
              </w:rPr>
              <w:t xml:space="preserve">    |    This tension is one of the most practically challenging aspects of compensation design. A cybersecurity specialist may evaluate at Grade 4 internally but command Grade 6 market rates. Organizations manage this through market premiums, special role classifications, or adjusted ranges for specific skill categories — acknowledging that pure internal equity sometimes must yield to market reality.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42</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a 'career family' versus a 'job family' in a career architecture?</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Career families and job families are identical terms with no meaningful distinction</w:t>
            </w:r>
          </w:p>
          <w:p>
            <w:pPr>
              <w:spacing w:after="40" w:before="40"/>
            </w:pPr>
            <w:r>
              <w:rPr>
                <w:rFonts w:ascii="Arial" w:cs="Arial" w:eastAsia="Arial" w:hAnsi="Arial"/>
                <w:color w:val="333333"/>
                <w:sz w:val="20"/>
                <w:szCs w:val="20"/>
              </w:rPr>
              <w:t xml:space="preserve">B. A job family typically groups roles by professional discipline (e.g., Finance, HR, Technology). A career family is a broader grouping of job families that share similar types of work or expertise pathways — for example, a 'Business Support' career family might include Finance, HR, Legal, and Communications job families</w:t>
            </w:r>
          </w:p>
          <w:p>
            <w:pPr>
              <w:spacing w:after="40" w:before="40"/>
            </w:pPr>
            <w:r>
              <w:rPr>
                <w:rFonts w:ascii="Arial" w:cs="Arial" w:eastAsia="Arial" w:hAnsi="Arial"/>
                <w:color w:val="333333"/>
                <w:sz w:val="20"/>
                <w:szCs w:val="20"/>
              </w:rPr>
              <w:t xml:space="preserve">C. Career families apply only to individual contributors; job families apply only to managers</w:t>
            </w:r>
          </w:p>
          <w:p>
            <w:pPr>
              <w:spacing w:after="40" w:before="40"/>
            </w:pPr>
            <w:r>
              <w:rPr>
                <w:rFonts w:ascii="Arial" w:cs="Arial" w:eastAsia="Arial" w:hAnsi="Arial"/>
                <w:color w:val="333333"/>
                <w:sz w:val="20"/>
                <w:szCs w:val="20"/>
              </w:rPr>
              <w:t xml:space="preserve">D. A career family is used only for succession planning; a job family is used only for compensation benchmarking</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The distinction matters for how career architecture is navigated. Job families enable deep expertise progression within a discipline; career families enable movement across related disciplines. Some organizations use only job families; others use a two-tier structure with both — depending on the size and complexity of the workforce.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43</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In a job evaluation, what does 'scope of impact' typically assess within the accountability factor?</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number of countries the role operates in as a proxy for seniority</w:t>
            </w:r>
          </w:p>
          <w:p>
            <w:pPr>
              <w:spacing w:after="40" w:before="40"/>
            </w:pPr>
            <w:r>
              <w:rPr>
                <w:rFonts w:ascii="Arial" w:cs="Arial" w:eastAsia="Arial" w:hAnsi="Arial"/>
                <w:color w:val="333333"/>
                <w:sz w:val="20"/>
                <w:szCs w:val="20"/>
              </w:rPr>
              <w:t xml:space="preserve">B. How directly the role's output connects to the employee's personal career development goals</w:t>
            </w:r>
          </w:p>
          <w:p>
            <w:pPr>
              <w:spacing w:after="40" w:before="40"/>
            </w:pPr>
            <w:r>
              <w:rPr>
                <w:rFonts w:ascii="Arial" w:cs="Arial" w:eastAsia="Arial" w:hAnsi="Arial"/>
                <w:color w:val="333333"/>
                <w:sz w:val="20"/>
                <w:szCs w:val="20"/>
              </w:rPr>
              <w:t xml:space="preserve">C. The breadth and significance of the role's influence on organizational results — ranging from impact limited to the individual's own output, through team or departmental impact, to divisional or organization-wide impact — with broader scope receiving higher scores</w:t>
            </w:r>
          </w:p>
          <w:p>
            <w:pPr>
              <w:spacing w:after="40" w:before="40"/>
            </w:pPr>
            <w:r>
              <w:rPr>
                <w:rFonts w:ascii="Arial" w:cs="Arial" w:eastAsia="Arial" w:hAnsi="Arial"/>
                <w:color w:val="333333"/>
                <w:sz w:val="20"/>
                <w:szCs w:val="20"/>
              </w:rPr>
              <w:t xml:space="preserve">D. The number of direct reports a manager supervises, used as the primary measure of role size</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C</w:t>
            </w:r>
            <w:r>
              <w:rPr>
                <w:rFonts w:ascii="Arial" w:cs="Arial" w:eastAsia="Arial" w:hAnsi="Arial"/>
                <w:color w:val="444444"/>
                <w:sz w:val="18"/>
                <w:szCs w:val="18"/>
              </w:rPr>
              <w:t xml:space="preserve">    |    Scope of impact is a nuanced factor. A role that directly makes billion-dollar capital allocation decisions has broader impact scope than one that produces inputs consumed by others. Breadth (how many people/functions are affected) and nature (advisory vs decision-making) both matter in assessing this dimension accurately.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44</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a 'job evaluation appeal process' and why is it important?</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An automatic process that increases an employee's grade if they remain in the same role for more than three years</w:t>
            </w:r>
          </w:p>
          <w:p>
            <w:pPr>
              <w:spacing w:after="40" w:before="40"/>
            </w:pPr>
            <w:r>
              <w:rPr>
                <w:rFonts w:ascii="Arial" w:cs="Arial" w:eastAsia="Arial" w:hAnsi="Arial"/>
                <w:color w:val="333333"/>
                <w:sz w:val="20"/>
                <w:szCs w:val="20"/>
              </w:rPr>
              <w:t xml:space="preserve">B. A mechanism for HR to appeal to the board when they disagree with a manager's job evaluation decision</w:t>
            </w:r>
          </w:p>
          <w:p>
            <w:pPr>
              <w:spacing w:after="40" w:before="40"/>
            </w:pPr>
            <w:r>
              <w:rPr>
                <w:rFonts w:ascii="Arial" w:cs="Arial" w:eastAsia="Arial" w:hAnsi="Arial"/>
                <w:color w:val="333333"/>
                <w:sz w:val="20"/>
                <w:szCs w:val="20"/>
              </w:rPr>
              <w:t xml:space="preserve">C. A process that allows managers to appeal the results of market pricing exercises they believe are unfair</w:t>
            </w:r>
          </w:p>
          <w:p>
            <w:pPr>
              <w:spacing w:after="40" w:before="40"/>
            </w:pPr>
            <w:r>
              <w:rPr>
                <w:rFonts w:ascii="Arial" w:cs="Arial" w:eastAsia="Arial" w:hAnsi="Arial"/>
                <w:color w:val="333333"/>
                <w:sz w:val="20"/>
                <w:szCs w:val="20"/>
              </w:rPr>
              <w:t xml:space="preserve">D. A formal, documented process through which an employee or manager can challenge a job evaluation outcome — presenting additional evidence about role content, scope, or accountability — ensuring that grade decisions are made transparently, can be reviewed against defined criteria, and are not simply determined by whoever has the most organizational influence</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D</w:t>
            </w:r>
            <w:r>
              <w:rPr>
                <w:rFonts w:ascii="Arial" w:cs="Arial" w:eastAsia="Arial" w:hAnsi="Arial"/>
                <w:color w:val="444444"/>
                <w:sz w:val="18"/>
                <w:szCs w:val="18"/>
              </w:rPr>
              <w:t xml:space="preserve">    |    A credible appeal process is essential for confidence in the job evaluation system. Without it, employees and managers who believe a role has been graded incorrectly have no legitimate recourse — creating frustration and potentially undermining the system's authority. Appeals should be reviewed against defined criteria, not seniority.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45</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a 'pay policy line' and how is it used in salary structure design?</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regression line drawn through a scatter plot of evaluated job scores (x-axis) against market pay data (y-axis) — used to determine the salary midpoints for each grade by showing the mathematical relationship between internal job value and external market pay at the organization's target market position</w:t>
            </w:r>
          </w:p>
          <w:p>
            <w:pPr>
              <w:spacing w:after="40" w:before="40"/>
            </w:pPr>
            <w:r>
              <w:rPr>
                <w:rFonts w:ascii="Arial" w:cs="Arial" w:eastAsia="Arial" w:hAnsi="Arial"/>
                <w:color w:val="333333"/>
                <w:sz w:val="20"/>
                <w:szCs w:val="20"/>
              </w:rPr>
              <w:t xml:space="preserve">B. A policy document listing the maximum salary increase permitted in any single review cycle</w:t>
            </w:r>
          </w:p>
          <w:p>
            <w:pPr>
              <w:spacing w:after="40" w:before="40"/>
            </w:pPr>
            <w:r>
              <w:rPr>
                <w:rFonts w:ascii="Arial" w:cs="Arial" w:eastAsia="Arial" w:hAnsi="Arial"/>
                <w:color w:val="333333"/>
                <w:sz w:val="20"/>
                <w:szCs w:val="20"/>
              </w:rPr>
              <w:t xml:space="preserve">C. A line graph showing historical salary movement over the past decade</w:t>
            </w:r>
          </w:p>
          <w:p>
            <w:pPr>
              <w:spacing w:after="40" w:before="40"/>
            </w:pPr>
            <w:r>
              <w:rPr>
                <w:rFonts w:ascii="Arial" w:cs="Arial" w:eastAsia="Arial" w:hAnsi="Arial"/>
                <w:color w:val="333333"/>
                <w:sz w:val="20"/>
                <w:szCs w:val="20"/>
              </w:rPr>
              <w:t xml:space="preserve">D. A legal requirement defining the minimum pay for each grade in a government-regulated salary structure</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A</w:t>
            </w:r>
            <w:r>
              <w:rPr>
                <w:rFonts w:ascii="Arial" w:cs="Arial" w:eastAsia="Arial" w:hAnsi="Arial"/>
                <w:color w:val="444444"/>
                <w:sz w:val="18"/>
                <w:szCs w:val="18"/>
              </w:rPr>
              <w:t xml:space="preserve">    |    The pay policy line is a technical but powerful tool. By plotting job evaluation scores against market salary data and fitting a regression line, HR can determine the appropriate midpoint for any evaluated score — creating a mathematically consistent, market-anchored salary structure rather than one built on arbitrary round numbers.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46</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the difference between 'job evaluation' and 'job classification' as grading approaches?</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Job classification is always more accurate than job evaluation because it uses market data</w:t>
            </w:r>
          </w:p>
          <w:p>
            <w:pPr>
              <w:spacing w:after="40" w:before="40"/>
            </w:pPr>
            <w:r>
              <w:rPr>
                <w:rFonts w:ascii="Arial" w:cs="Arial" w:eastAsia="Arial" w:hAnsi="Arial"/>
                <w:color w:val="333333"/>
                <w:sz w:val="20"/>
                <w:szCs w:val="20"/>
              </w:rPr>
              <w:t xml:space="preserve">B. Job evaluation systematically assesses individual roles against defined criteria to determine their grade. Job classification compares roles against predefined written descriptions of each grade level and asks which description best fits — a simpler but less precise approach that works well for stable, clearly defined role types but can struggle with complex or hybrid roles</w:t>
            </w:r>
          </w:p>
          <w:p>
            <w:pPr>
              <w:spacing w:after="40" w:before="40"/>
            </w:pPr>
            <w:r>
              <w:rPr>
                <w:rFonts w:ascii="Arial" w:cs="Arial" w:eastAsia="Arial" w:hAnsi="Arial"/>
                <w:color w:val="333333"/>
                <w:sz w:val="20"/>
                <w:szCs w:val="20"/>
              </w:rPr>
              <w:t xml:space="preserve">C. Job evaluation is used only in public sector organizations; job classification is used only in private companies</w:t>
            </w:r>
          </w:p>
          <w:p>
            <w:pPr>
              <w:spacing w:after="40" w:before="40"/>
            </w:pPr>
            <w:r>
              <w:rPr>
                <w:rFonts w:ascii="Arial" w:cs="Arial" w:eastAsia="Arial" w:hAnsi="Arial"/>
                <w:color w:val="333333"/>
                <w:sz w:val="20"/>
                <w:szCs w:val="20"/>
              </w:rPr>
              <w:t xml:space="preserve">D. Job classification requires an external consultant; job evaluation can be conducted entirely internally without specialist knowledge</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Both methods produce a grade assignment, but through different routes. Classification is faster and simpler — suitable for organizations with standard, predictable roles. Evaluation is more rigorous and defensible — better for complex, varied, or evolving roles where nuanced comparison is needed.</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47</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'market data segmentation' and why does it improve compensation benchmarking accuracy?</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process of dividing the organization's workforce into segments for the purpose of benefits enrollment</w:t>
            </w:r>
          </w:p>
          <w:p>
            <w:pPr>
              <w:spacing w:after="40" w:before="40"/>
            </w:pPr>
            <w:r>
              <w:rPr>
                <w:rFonts w:ascii="Arial" w:cs="Arial" w:eastAsia="Arial" w:hAnsi="Arial"/>
                <w:color w:val="333333"/>
                <w:sz w:val="20"/>
                <w:szCs w:val="20"/>
              </w:rPr>
              <w:t xml:space="preserve">B. A technique for separating confidential salary data from non-confidential data in survey submissions</w:t>
            </w:r>
          </w:p>
          <w:p>
            <w:pPr>
              <w:spacing w:after="40" w:before="40"/>
            </w:pPr>
            <w:r>
              <w:rPr>
                <w:rFonts w:ascii="Arial" w:cs="Arial" w:eastAsia="Arial" w:hAnsi="Arial"/>
                <w:color w:val="333333"/>
                <w:sz w:val="20"/>
                <w:szCs w:val="20"/>
              </w:rPr>
              <w:t xml:space="preserve">C. Filtering market salary survey data by relevant variables — such as industry sector, company size/revenue, geography, and ownership type — to ensure the benchmark represents the specific labor market the organization actually competes in for talent, rather than a broad average that may not reflect actual competition</w:t>
            </w:r>
          </w:p>
          <w:p>
            <w:pPr>
              <w:spacing w:after="40" w:before="40"/>
            </w:pPr>
            <w:r>
              <w:rPr>
                <w:rFonts w:ascii="Arial" w:cs="Arial" w:eastAsia="Arial" w:hAnsi="Arial"/>
                <w:color w:val="333333"/>
                <w:sz w:val="20"/>
                <w:szCs w:val="20"/>
              </w:rPr>
              <w:t xml:space="preserve">D. A method of separating base pay data from total cash data in survey analysis</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C</w:t>
            </w:r>
            <w:r>
              <w:rPr>
                <w:rFonts w:ascii="Arial" w:cs="Arial" w:eastAsia="Arial" w:hAnsi="Arial"/>
                <w:color w:val="444444"/>
                <w:sz w:val="18"/>
                <w:szCs w:val="18"/>
              </w:rPr>
              <w:t xml:space="preserve">    |    Unfiltered market data can be profoundly misleading. A global FMCG company benchmarking an HR Director role against all survey participants — including financial services and technology companies — will see inflated data. Filtering to FMCG sector, similar revenue, and relevant geography produces a far more actionable benchmark.</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48</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the purpose of a 'job evaluation maintenance cycle'?</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process for updating the job evaluation software system with the latest market data each year</w:t>
            </w:r>
          </w:p>
          <w:p>
            <w:pPr>
              <w:spacing w:after="40" w:before="40"/>
            </w:pPr>
            <w:r>
              <w:rPr>
                <w:rFonts w:ascii="Arial" w:cs="Arial" w:eastAsia="Arial" w:hAnsi="Arial"/>
                <w:color w:val="333333"/>
                <w:sz w:val="20"/>
                <w:szCs w:val="20"/>
              </w:rPr>
              <w:t xml:space="preserve">B. An annual training program for managers on how to write better job descriptions</w:t>
            </w:r>
          </w:p>
          <w:p>
            <w:pPr>
              <w:spacing w:after="40" w:before="40"/>
            </w:pPr>
            <w:r>
              <w:rPr>
                <w:rFonts w:ascii="Arial" w:cs="Arial" w:eastAsia="Arial" w:hAnsi="Arial"/>
                <w:color w:val="333333"/>
                <w:sz w:val="20"/>
                <w:szCs w:val="20"/>
              </w:rPr>
              <w:t xml:space="preserve">C. A review cycle in which the entire organization's job evaluation is redone from scratch each year</w:t>
            </w:r>
          </w:p>
          <w:p>
            <w:pPr>
              <w:spacing w:after="40" w:before="40"/>
            </w:pPr>
            <w:r>
              <w:rPr>
                <w:rFonts w:ascii="Arial" w:cs="Arial" w:eastAsia="Arial" w:hAnsi="Arial"/>
                <w:color w:val="333333"/>
                <w:sz w:val="20"/>
                <w:szCs w:val="20"/>
              </w:rPr>
              <w:t xml:space="preserve">D. A periodic governance process — typically triggered by defined role changes or on a scheduled cycle — that reviews whether existing grade assignments remain appropriate as roles evolve, ensuring the grade structure accurately reflects current rather than historical role content and preventing grade drift and inequity over time</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D</w:t>
            </w:r>
            <w:r>
              <w:rPr>
                <w:rFonts w:ascii="Arial" w:cs="Arial" w:eastAsia="Arial" w:hAnsi="Arial"/>
                <w:color w:val="444444"/>
                <w:sz w:val="18"/>
                <w:szCs w:val="18"/>
              </w:rPr>
              <w:t xml:space="preserve">    |    Roles change constantly — responsibilities expand, technology reshapes work, structures shift. A maintenance cycle ensures that grade assignments keep pace with these changes rather than drifting from reality. It also provides a legitimate, structured route for managers to request re-evaluations without triggering ad hoc grade inflation.</w:t>
            </w:r>
          </w:p>
        </w:tc>
      </w:tr>
    </w:tbl>
    <w:p>
      <w:pPr>
        <w:spacing w:after="200" w:before="0"/>
      </w:pPr>
      <w:r>
        <w:t xml:space="preserve"/>
      </w:r>
    </w:p>
    <w:p>
      <w:r>
        <w:br w:type="page"/>
      </w:r>
    </w:p>
    <w:p>
      <w:pPr>
        <w:shd w:fill="3A7D44" w:val="clear"/>
        <w:spacing w:after="0" w:before="480"/>
      </w:pPr>
      <w:r>
        <w:rPr>
          <w:rFonts w:ascii="Arial" w:cs="Arial" w:eastAsia="Arial" w:hAnsi="Arial"/>
          <w:b/>
          <w:bCs/>
          <w:color w:val="FFFFFF"/>
          <w:sz w:val="28"/>
          <w:szCs w:val="28"/>
        </w:rPr>
        <w:t xml:space="preserve">  Benefits &amp; Wellbeing  </w:t>
      </w:r>
    </w:p>
    <w:p>
      <w:pPr>
        <w:shd w:fill="3A7D44" w:val="clear"/>
        <w:spacing w:after="240" w:before="0"/>
      </w:pPr>
      <w:r>
        <w:rPr>
          <w:rFonts w:ascii="Arial" w:cs="Arial" w:eastAsia="Arial" w:hAnsi="Arial"/>
          <w:color w:val="FFFFFF"/>
          <w:sz w:val="18"/>
          <w:szCs w:val="18"/>
        </w:rPr>
        <w:t xml:space="preserve">  Questions Q49 – Q60</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49</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are 'enhanced family leave' provisions and why are they increasingly important in Total Rewards?</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Leave entitlements that go beyond statutory minimums — such as extended maternity or paternity leave, paid adoption leave, fertility treatment leave, or shared parental leave at full pay — which signal a genuine organizational commitment to supporting employees through major life events and are increasingly used as a talent differentiation and retention tool</w:t>
            </w:r>
          </w:p>
          <w:p>
            <w:pPr>
              <w:spacing w:after="40" w:before="40"/>
            </w:pPr>
            <w:r>
              <w:rPr>
                <w:rFonts w:ascii="Arial" w:cs="Arial" w:eastAsia="Arial" w:hAnsi="Arial"/>
                <w:color w:val="333333"/>
                <w:sz w:val="20"/>
                <w:szCs w:val="20"/>
              </w:rPr>
              <w:t xml:space="preserve">B. Leave provisions that are only available to employees who have been with the organization for more than ten years</w:t>
            </w:r>
          </w:p>
          <w:p>
            <w:pPr>
              <w:spacing w:after="40" w:before="40"/>
            </w:pPr>
            <w:r>
              <w:rPr>
                <w:rFonts w:ascii="Arial" w:cs="Arial" w:eastAsia="Arial" w:hAnsi="Arial"/>
                <w:color w:val="333333"/>
                <w:sz w:val="20"/>
                <w:szCs w:val="20"/>
              </w:rPr>
              <w:t xml:space="preserve">C. A statutory requirement that all employers must provide the same parental leave regardless of employment type</w:t>
            </w:r>
          </w:p>
          <w:p>
            <w:pPr>
              <w:spacing w:after="40" w:before="40"/>
            </w:pPr>
            <w:r>
              <w:rPr>
                <w:rFonts w:ascii="Arial" w:cs="Arial" w:eastAsia="Arial" w:hAnsi="Arial"/>
                <w:color w:val="333333"/>
                <w:sz w:val="20"/>
                <w:szCs w:val="20"/>
              </w:rPr>
              <w:t xml:space="preserve">D. Leave provided exclusively to senior employees as an executive benefit</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A</w:t>
            </w:r>
            <w:r>
              <w:rPr>
                <w:rFonts w:ascii="Arial" w:cs="Arial" w:eastAsia="Arial" w:hAnsi="Arial"/>
                <w:color w:val="444444"/>
                <w:sz w:val="18"/>
                <w:szCs w:val="18"/>
              </w:rPr>
              <w:t xml:space="preserve">    |    Enhanced family leave is one of the fastest-growing areas of benefits differentiation. With statutory parental leave levels often failing to meet employee needs, organizations that offer extended leave at full (or near-full) pay signal a genuine investment in employee wellbeing and family life — particularly valued by employees planning or growing families.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50</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'menopause support' as a workplace wellbeing and Total Rewards consideration?</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mandatory employee assistance program required by law in most jurisdictions for organizations with more than 100 employees</w:t>
            </w:r>
          </w:p>
          <w:p>
            <w:pPr>
              <w:spacing w:after="40" w:before="40"/>
            </w:pPr>
            <w:r>
              <w:rPr>
                <w:rFonts w:ascii="Arial" w:cs="Arial" w:eastAsia="Arial" w:hAnsi="Arial"/>
                <w:color w:val="333333"/>
                <w:sz w:val="20"/>
                <w:szCs w:val="20"/>
              </w:rPr>
              <w:t xml:space="preserve">B. A range of workplace measures — which may include flexible working arrangements, temperature control, access to occupational health, specialist EAP support, manager training on the subject, and relevant medical insurance coverage — designed to support employees experiencing the menopause and reduce the risk of talented employees leaving due to unmanaged symptoms affecting their working life</w:t>
            </w:r>
          </w:p>
          <w:p>
            <w:pPr>
              <w:spacing w:after="40" w:before="40"/>
            </w:pPr>
            <w:r>
              <w:rPr>
                <w:rFonts w:ascii="Arial" w:cs="Arial" w:eastAsia="Arial" w:hAnsi="Arial"/>
                <w:color w:val="333333"/>
                <w:sz w:val="20"/>
                <w:szCs w:val="20"/>
              </w:rPr>
              <w:t xml:space="preserve">C. A wellness program exclusively designed for female employees over the age of 60</w:t>
            </w:r>
          </w:p>
          <w:p>
            <w:pPr>
              <w:spacing w:after="40" w:before="40"/>
            </w:pPr>
            <w:r>
              <w:rPr>
                <w:rFonts w:ascii="Arial" w:cs="Arial" w:eastAsia="Arial" w:hAnsi="Arial"/>
                <w:color w:val="333333"/>
                <w:sz w:val="20"/>
                <w:szCs w:val="20"/>
              </w:rPr>
              <w:t xml:space="preserve">D. A government scheme that provides tax relief on medical expenses related to menopause treatment</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B</w:t>
            </w:r>
            <w:r>
              <w:rPr>
                <w:rFonts w:ascii="Arial" w:cs="Arial" w:eastAsia="Arial" w:hAnsi="Arial"/>
                <w:color w:val="444444"/>
                <w:sz w:val="18"/>
                <w:szCs w:val="18"/>
              </w:rPr>
              <w:t xml:space="preserve">    |    Menopause support has moved from a taboo topic to a recognized talent retention issue. Research shows that a significant number of people experiencing menopause symptoms consider leaving work because of inadequate support. Organizations that provide practical support — flexibility, temperature management, specialist health access — retain experienced employees who would otherwise exit.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51</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a 'critical illness' insurance benefit and how does it complement other protection benefits?</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Insurance that covers the cost of all medical treatment regardless of the nature of the condition</w:t>
            </w:r>
          </w:p>
          <w:p>
            <w:pPr>
              <w:spacing w:after="40" w:before="40"/>
            </w:pPr>
            <w:r>
              <w:rPr>
                <w:rFonts w:ascii="Arial" w:cs="Arial" w:eastAsia="Arial" w:hAnsi="Arial"/>
                <w:color w:val="333333"/>
                <w:sz w:val="20"/>
                <w:szCs w:val="20"/>
              </w:rPr>
              <w:t xml:space="preserve">B. A benefit that provides income replacement during short-term sickness absence of up to six months</w:t>
            </w:r>
          </w:p>
          <w:p>
            <w:pPr>
              <w:spacing w:after="40" w:before="40"/>
            </w:pPr>
            <w:r>
              <w:rPr>
                <w:rFonts w:ascii="Arial" w:cs="Arial" w:eastAsia="Arial" w:hAnsi="Arial"/>
                <w:color w:val="333333"/>
                <w:sz w:val="20"/>
                <w:szCs w:val="20"/>
              </w:rPr>
              <w:t xml:space="preserve">C. A lump-sum insurance payment made directly to the employee on diagnosis of a defined serious illness — such as cancer, heart attack, or stroke — providing immediate financial support for costs that may not be covered by health insurance, such as home adaptations, specialist treatments, or debt management, complementing income protection which addresses ongoing earnings loss</w:t>
            </w:r>
          </w:p>
          <w:p>
            <w:pPr>
              <w:spacing w:after="40" w:before="40"/>
            </w:pPr>
            <w:r>
              <w:rPr>
                <w:rFonts w:ascii="Arial" w:cs="Arial" w:eastAsia="Arial" w:hAnsi="Arial"/>
                <w:color w:val="333333"/>
                <w:sz w:val="20"/>
                <w:szCs w:val="20"/>
              </w:rPr>
              <w:t xml:space="preserve">D. Life insurance that pays out when an employee reaches a defined retirement age</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C</w:t>
            </w:r>
            <w:r>
              <w:rPr>
                <w:rFonts w:ascii="Arial" w:cs="Arial" w:eastAsia="Arial" w:hAnsi="Arial"/>
                <w:color w:val="444444"/>
                <w:sz w:val="18"/>
                <w:szCs w:val="18"/>
              </w:rPr>
              <w:t xml:space="preserve">    |    Critical illness cover addresses the immediate financial shock of serious illness diagnosis — the costs that arrive before income protection or disability benefits kick in. It works alongside income protection (which replaces salary during incapacity) and life assurance (which protects dependants on death) to create a comprehensive protection portfolio.</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52</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a 'benefits technology platform' or 'benefits portal' and what value does it deliver?</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Software used exclusively by the HR team to administer benefits without employee involvement</w:t>
            </w:r>
          </w:p>
          <w:p>
            <w:pPr>
              <w:spacing w:after="40" w:before="40"/>
            </w:pPr>
            <w:r>
              <w:rPr>
                <w:rFonts w:ascii="Arial" w:cs="Arial" w:eastAsia="Arial" w:hAnsi="Arial"/>
                <w:color w:val="333333"/>
                <w:sz w:val="20"/>
                <w:szCs w:val="20"/>
              </w:rPr>
              <w:t xml:space="preserve">B. A payroll system module that automatically calculates benefit deductions from employee salaries</w:t>
            </w:r>
          </w:p>
          <w:p>
            <w:pPr>
              <w:spacing w:after="40" w:before="40"/>
            </w:pPr>
            <w:r>
              <w:rPr>
                <w:rFonts w:ascii="Arial" w:cs="Arial" w:eastAsia="Arial" w:hAnsi="Arial"/>
                <w:color w:val="333333"/>
                <w:sz w:val="20"/>
                <w:szCs w:val="20"/>
              </w:rPr>
              <w:t xml:space="preserve">C. A compliance management tool that monitors whether the organization's benefits meet legislative requirements</w:t>
            </w:r>
          </w:p>
          <w:p>
            <w:pPr>
              <w:spacing w:after="40" w:before="40"/>
            </w:pPr>
            <w:r>
              <w:rPr>
                <w:rFonts w:ascii="Arial" w:cs="Arial" w:eastAsia="Arial" w:hAnsi="Arial"/>
                <w:color w:val="333333"/>
                <w:sz w:val="20"/>
                <w:szCs w:val="20"/>
              </w:rPr>
              <w:t xml:space="preserve">D. A digital platform — typically accessible by employees via web or mobile app — that enables employees to view, select, and manage their benefits, access their total compensation statement, compare options during enrollment, and get information about available support, significantly improving accessibility, engagement, and perceived value of the benefits offering</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D</w:t>
            </w:r>
            <w:r>
              <w:rPr>
                <w:rFonts w:ascii="Arial" w:cs="Arial" w:eastAsia="Arial" w:hAnsi="Arial"/>
                <w:color w:val="444444"/>
                <w:sz w:val="18"/>
                <w:szCs w:val="18"/>
              </w:rPr>
              <w:t xml:space="preserve">    |    Benefits technology platforms transform the employee benefits experience. Instead of paper forms and phone calls to HR, employees can see the full value of their package, make informed enrollment choices, and access support 24/7. The platforms also generate utilization data that HR can use to optimize benefits design and communication.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53</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the difference between a wellbeing 'program' and a wellbeing 'culture'?</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wellbeing program is a defined set of initiatives and benefits — gym memberships, EAP, yoga classes. A wellbeing culture is the broader organizational environment in which wellbeing is genuinely valued, supported by leadership behavior, embedded in ways of working, and reflected in how work is designed, managed, and rewarded — without which individual programs have limited and unsustainable impact</w:t>
            </w:r>
          </w:p>
          <w:p>
            <w:pPr>
              <w:spacing w:after="40" w:before="40"/>
            </w:pPr>
            <w:r>
              <w:rPr>
                <w:rFonts w:ascii="Arial" w:cs="Arial" w:eastAsia="Arial" w:hAnsi="Arial"/>
                <w:color w:val="333333"/>
                <w:sz w:val="20"/>
                <w:szCs w:val="20"/>
              </w:rPr>
              <w:t xml:space="preserve">B. A wellbeing culture is managed by a specialized wellbeing team; a wellbeing program is run by the HR generalist team</w:t>
            </w:r>
          </w:p>
          <w:p>
            <w:pPr>
              <w:spacing w:after="40" w:before="40"/>
            </w:pPr>
            <w:r>
              <w:rPr>
                <w:rFonts w:ascii="Arial" w:cs="Arial" w:eastAsia="Arial" w:hAnsi="Arial"/>
                <w:color w:val="333333"/>
                <w:sz w:val="20"/>
                <w:szCs w:val="20"/>
              </w:rPr>
              <w:t xml:space="preserve">C. Wellbeing programs are legally required; wellbeing culture is entirely voluntary</w:t>
            </w:r>
          </w:p>
          <w:p>
            <w:pPr>
              <w:spacing w:after="40" w:before="40"/>
            </w:pPr>
            <w:r>
              <w:rPr>
                <w:rFonts w:ascii="Arial" w:cs="Arial" w:eastAsia="Arial" w:hAnsi="Arial"/>
                <w:color w:val="333333"/>
                <w:sz w:val="20"/>
                <w:szCs w:val="20"/>
              </w:rPr>
              <w:t xml:space="preserve">D. A wellbeing culture applies only to the most senior leaders; a wellbeing program serves all employees</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A</w:t>
            </w:r>
            <w:r>
              <w:rPr>
                <w:rFonts w:ascii="Arial" w:cs="Arial" w:eastAsia="Arial" w:hAnsi="Arial"/>
                <w:color w:val="444444"/>
                <w:sz w:val="18"/>
                <w:szCs w:val="18"/>
              </w:rPr>
              <w:t xml:space="preserve">    |    This distinction is critical for investment decisions. Organizations that invest heavily in wellbeing programs but have cultures of overwork, poor management, and psychological unsafety see limited return on that investment. Sustainable employee wellbeing requires culture change — in how leaders model behavior, how workloads are managed, and how performance is driven.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54</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'financial coaching' as a component of financial wellbeing benefits?</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mandatory program requiring employees to follow a prescribed savings and investment plan</w:t>
            </w:r>
          </w:p>
          <w:p>
            <w:pPr>
              <w:spacing w:after="40" w:before="40"/>
            </w:pPr>
            <w:r>
              <w:rPr>
                <w:rFonts w:ascii="Arial" w:cs="Arial" w:eastAsia="Arial" w:hAnsi="Arial"/>
                <w:color w:val="333333"/>
                <w:sz w:val="20"/>
                <w:szCs w:val="20"/>
              </w:rPr>
              <w:t xml:space="preserve">B. Access to qualified financial advisors who work with individual employees on a confidential basis — helping them assess their current financial position, set goals, create budgets, understand their pension options, and plan for major life events — going beyond generic financial education to provide personalized, action-oriented guidance</w:t>
            </w:r>
          </w:p>
          <w:p>
            <w:pPr>
              <w:spacing w:after="40" w:before="40"/>
            </w:pPr>
            <w:r>
              <w:rPr>
                <w:rFonts w:ascii="Arial" w:cs="Arial" w:eastAsia="Arial" w:hAnsi="Arial"/>
                <w:color w:val="333333"/>
                <w:sz w:val="20"/>
                <w:szCs w:val="20"/>
              </w:rPr>
              <w:t xml:space="preserve">C. Group training sessions on tax compliance for employees managing business expenses</w:t>
            </w:r>
          </w:p>
          <w:p>
            <w:pPr>
              <w:spacing w:after="40" w:before="40"/>
            </w:pPr>
            <w:r>
              <w:rPr>
                <w:rFonts w:ascii="Arial" w:cs="Arial" w:eastAsia="Arial" w:hAnsi="Arial"/>
                <w:color w:val="333333"/>
                <w:sz w:val="20"/>
                <w:szCs w:val="20"/>
              </w:rPr>
              <w:t xml:space="preserve">D. A scheme where the employer manages employees' personal savings and investments on their behalf</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B</w:t>
            </w:r>
            <w:r>
              <w:rPr>
                <w:rFonts w:ascii="Arial" w:cs="Arial" w:eastAsia="Arial" w:hAnsi="Arial"/>
                <w:color w:val="444444"/>
                <w:sz w:val="18"/>
                <w:szCs w:val="18"/>
              </w:rPr>
              <w:t xml:space="preserve">    |    Financial coaching is increasingly offered as a premium wellbeing benefit. Unlike group financial education, coaching is individualized and addresses each person's specific circumstances — making it significantly more impactful on actual financial outcomes and stress levels. It is particularly valued by employees facing major financial decisions.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55</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'sustainable benefits design' and why is it gaining relevance?</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Designing benefits programs that cost the same amount every year regardless of market changes</w:t>
            </w:r>
          </w:p>
          <w:p>
            <w:pPr>
              <w:spacing w:after="40" w:before="40"/>
            </w:pPr>
            <w:r>
              <w:rPr>
                <w:rFonts w:ascii="Arial" w:cs="Arial" w:eastAsia="Arial" w:hAnsi="Arial"/>
                <w:color w:val="333333"/>
                <w:sz w:val="20"/>
                <w:szCs w:val="20"/>
              </w:rPr>
              <w:t xml:space="preserve">B. A benefits approach focused exclusively on environmental sustainability initiatives such as electric vehicle schemes and cycle-to-work programs</w:t>
            </w:r>
          </w:p>
          <w:p>
            <w:pPr>
              <w:spacing w:after="40" w:before="40"/>
            </w:pPr>
            <w:r>
              <w:rPr>
                <w:rFonts w:ascii="Arial" w:cs="Arial" w:eastAsia="Arial" w:hAnsi="Arial"/>
                <w:color w:val="333333"/>
                <w:sz w:val="20"/>
                <w:szCs w:val="20"/>
              </w:rPr>
              <w:t xml:space="preserve">C. An approach to benefits design that considers long-term affordability and sustainability for both the organization and employees — ensuring programs can be funded consistently over time, remain relevant as workforce needs evolve, and do not create future liability that cannot be met, while also increasingly incorporating environmental and social sustainability values into the rewards offering</w:t>
            </w:r>
          </w:p>
          <w:p>
            <w:pPr>
              <w:spacing w:after="40" w:before="40"/>
            </w:pPr>
            <w:r>
              <w:rPr>
                <w:rFonts w:ascii="Arial" w:cs="Arial" w:eastAsia="Arial" w:hAnsi="Arial"/>
                <w:color w:val="333333"/>
                <w:sz w:val="20"/>
                <w:szCs w:val="20"/>
              </w:rPr>
              <w:t xml:space="preserve">D. A legal requirement for pension funds to invest only in environmentally sustainable companies</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C</w:t>
            </w:r>
            <w:r>
              <w:rPr>
                <w:rFonts w:ascii="Arial" w:cs="Arial" w:eastAsia="Arial" w:hAnsi="Arial"/>
                <w:color w:val="444444"/>
                <w:sz w:val="18"/>
                <w:szCs w:val="18"/>
              </w:rPr>
              <w:t xml:space="preserve">    |    Sustainable benefits design has two dimensions. Financial sustainability prevents organizations from making promises they cannot keep — which damages trust when benefits are withdrawn. Values sustainability increasingly integrates environmental and social considerations into reward design, such as EV leasing, green investment pension options, and sustainability-linked rewards.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56</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'bereaved employee support' as a Total Rewards and wellbeing consideration?</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An insurance policy that pays a lump sum to the organization when a senior employee dies in service</w:t>
            </w:r>
          </w:p>
          <w:p>
            <w:pPr>
              <w:spacing w:after="40" w:before="40"/>
            </w:pPr>
            <w:r>
              <w:rPr>
                <w:rFonts w:ascii="Arial" w:cs="Arial" w:eastAsia="Arial" w:hAnsi="Arial"/>
                <w:color w:val="333333"/>
                <w:sz w:val="20"/>
                <w:szCs w:val="20"/>
              </w:rPr>
              <w:t xml:space="preserve">B. A legal requirement for all employers to provide at least six months of paid leave following the death of a close family member</w:t>
            </w:r>
          </w:p>
          <w:p>
            <w:pPr>
              <w:spacing w:after="40" w:before="40"/>
            </w:pPr>
            <w:r>
              <w:rPr>
                <w:rFonts w:ascii="Arial" w:cs="Arial" w:eastAsia="Arial" w:hAnsi="Arial"/>
                <w:color w:val="333333"/>
                <w:sz w:val="20"/>
                <w:szCs w:val="20"/>
              </w:rPr>
              <w:t xml:space="preserve">C. A government scheme that reimburses employers for the cost of bereavement leave provided to employees</w:t>
            </w:r>
          </w:p>
          <w:p>
            <w:pPr>
              <w:spacing w:after="40" w:before="40"/>
            </w:pPr>
            <w:r>
              <w:rPr>
                <w:rFonts w:ascii="Arial" w:cs="Arial" w:eastAsia="Arial" w:hAnsi="Arial"/>
                <w:color w:val="333333"/>
                <w:sz w:val="20"/>
                <w:szCs w:val="20"/>
              </w:rPr>
              <w:t xml:space="preserve">D. The combination of generous bereavement leave policies, access to grief counseling through the EAP, manager training on supporting grieving employees, and flexible return-to-work arrangements — recognizing that employee wellbeing through major personal loss is a genuine organizational responsibility with significant retention and engagement implications</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D</w:t>
            </w:r>
            <w:r>
              <w:rPr>
                <w:rFonts w:ascii="Arial" w:cs="Arial" w:eastAsia="Arial" w:hAnsi="Arial"/>
                <w:color w:val="444444"/>
                <w:sz w:val="18"/>
                <w:szCs w:val="18"/>
              </w:rPr>
              <w:t xml:space="preserve">    |    Bereavement support has evolved from a narrow focus on leave entitlement to a broader wellbeing consideration. Employees who feel genuinely supported through major personal loss return to work more quickly, remain more engaged, and feel a deeper connection to the organization — making comprehensive bereavement support both a human imperative and a business investment.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57</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a 'global benefits baseline' in the context of multinational organizations?</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minimum set of benefit principles or standards — such as requiring all locations to offer at least a defined minimum of life insurance, health coverage, income protection, and retirement support — applied consistently across all countries to ensure a foundational level of employee protection regardless of local statutory minimums, while allowing local HR to add market-appropriate benefits beyond this baseline</w:t>
            </w:r>
          </w:p>
          <w:p>
            <w:pPr>
              <w:spacing w:after="40" w:before="40"/>
            </w:pPr>
            <w:r>
              <w:rPr>
                <w:rFonts w:ascii="Arial" w:cs="Arial" w:eastAsia="Arial" w:hAnsi="Arial"/>
                <w:color w:val="333333"/>
                <w:sz w:val="20"/>
                <w:szCs w:val="20"/>
              </w:rPr>
              <w:t xml:space="preserve">B. A requirement that all employees worldwide receive the same benefits package regardless of country</w:t>
            </w:r>
          </w:p>
          <w:p>
            <w:pPr>
              <w:spacing w:after="40" w:before="40"/>
            </w:pPr>
            <w:r>
              <w:rPr>
                <w:rFonts w:ascii="Arial" w:cs="Arial" w:eastAsia="Arial" w:hAnsi="Arial"/>
                <w:color w:val="333333"/>
                <w:sz w:val="20"/>
                <w:szCs w:val="20"/>
              </w:rPr>
              <w:t xml:space="preserve">C. A document listing the minimum statutory benefits required in each country where the organization operates</w:t>
            </w:r>
          </w:p>
          <w:p>
            <w:pPr>
              <w:spacing w:after="40" w:before="40"/>
            </w:pPr>
            <w:r>
              <w:rPr>
                <w:rFonts w:ascii="Arial" w:cs="Arial" w:eastAsia="Arial" w:hAnsi="Arial"/>
                <w:color w:val="333333"/>
                <w:sz w:val="20"/>
                <w:szCs w:val="20"/>
              </w:rPr>
              <w:t xml:space="preserve">D. A target for all locations to match the benefits offered in the organization's home country headquarters</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A</w:t>
            </w:r>
            <w:r>
              <w:rPr>
                <w:rFonts w:ascii="Arial" w:cs="Arial" w:eastAsia="Arial" w:hAnsi="Arial"/>
                <w:color w:val="444444"/>
                <w:sz w:val="18"/>
                <w:szCs w:val="18"/>
              </w:rPr>
              <w:t xml:space="preserve">    |    A global benefits baseline solves the consistency problem in multinational reward design. Rather than full uniformity (impractical and inappropriate given local differences) or complete local discretion (creating unacceptable protection gaps), a baseline ensures every employee has foundational protection while enabling locally relevant enhancements.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58</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'caregiving support' as an emerging benefits area and why is it gaining relevance?</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legal requirement for employers to provide paid time off for employees who are professional carers</w:t>
            </w:r>
          </w:p>
          <w:p>
            <w:pPr>
              <w:spacing w:after="40" w:before="40"/>
            </w:pPr>
            <w:r>
              <w:rPr>
                <w:rFonts w:ascii="Arial" w:cs="Arial" w:eastAsia="Arial" w:hAnsi="Arial"/>
                <w:color w:val="333333"/>
                <w:sz w:val="20"/>
                <w:szCs w:val="20"/>
              </w:rPr>
              <w:t xml:space="preserve">B. A growing category of employee benefits designed to support employees who have caregiving responsibilities — for children, elderly parents, or other dependants — through provisions such as backup care services, elder care referrals, caregiving leave, flexible working support, and EAP guidance, recognizing that caregiving responsibilities significantly affect employee availability, stress, and retention</w:t>
            </w:r>
          </w:p>
          <w:p>
            <w:pPr>
              <w:spacing w:after="40" w:before="40"/>
            </w:pPr>
            <w:r>
              <w:rPr>
                <w:rFonts w:ascii="Arial" w:cs="Arial" w:eastAsia="Arial" w:hAnsi="Arial"/>
                <w:color w:val="333333"/>
                <w:sz w:val="20"/>
                <w:szCs w:val="20"/>
              </w:rPr>
              <w:t xml:space="preserve">C. A program exclusively for healthcare workers providing support for their own health and wellbeing</w:t>
            </w:r>
          </w:p>
          <w:p>
            <w:pPr>
              <w:spacing w:after="40" w:before="40"/>
            </w:pPr>
            <w:r>
              <w:rPr>
                <w:rFonts w:ascii="Arial" w:cs="Arial" w:eastAsia="Arial" w:hAnsi="Arial"/>
                <w:color w:val="333333"/>
                <w:sz w:val="20"/>
                <w:szCs w:val="20"/>
              </w:rPr>
              <w:t xml:space="preserve">D. A mandatory government scheme reimbursing employers for childcare costs incurred by employees</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B</w:t>
            </w:r>
            <w:r>
              <w:rPr>
                <w:rFonts w:ascii="Arial" w:cs="Arial" w:eastAsia="Arial" w:hAnsi="Arial"/>
                <w:color w:val="444444"/>
                <w:sz w:val="18"/>
                <w:szCs w:val="18"/>
              </w:rPr>
              <w:t xml:space="preserve">    |    Caregiving demographics are shifting. With aging populations and increasing childcare complexity, a significant and growing proportion of the workforce has caregiving responsibilities outside work. Employers who provide practical support for caregivers — backup care, flexible hours, specialist advice — retain employees who might otherwise reduce hours or exit the workforce.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59</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a 'total protection strategy' in employee benefits design?</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strategy requiring employers to insure against all possible risks that could affect employee productivity</w:t>
            </w:r>
          </w:p>
          <w:p>
            <w:pPr>
              <w:spacing w:after="40" w:before="40"/>
            </w:pPr>
            <w:r>
              <w:rPr>
                <w:rFonts w:ascii="Arial" w:cs="Arial" w:eastAsia="Arial" w:hAnsi="Arial"/>
                <w:color w:val="333333"/>
                <w:sz w:val="20"/>
                <w:szCs w:val="20"/>
              </w:rPr>
              <w:t xml:space="preserve">B. A benefits approach where employees choose their own protection levels from a defined menu with no employer guidance</w:t>
            </w:r>
          </w:p>
          <w:p>
            <w:pPr>
              <w:spacing w:after="40" w:before="40"/>
            </w:pPr>
            <w:r>
              <w:rPr>
                <w:rFonts w:ascii="Arial" w:cs="Arial" w:eastAsia="Arial" w:hAnsi="Arial"/>
                <w:color w:val="333333"/>
                <w:sz w:val="20"/>
                <w:szCs w:val="20"/>
              </w:rPr>
              <w:t xml:space="preserve">C. A coordinated approach to designing and communicating the full suite of protection benefits — life assurance, income protection, critical illness cover, private medical insurance, and relevant wellbeing support — as an integrated set that together provides employees with meaningful financial security across the major risks they face: death, serious illness, disability, and healthcare need</w:t>
            </w:r>
          </w:p>
          <w:p>
            <w:pPr>
              <w:spacing w:after="40" w:before="40"/>
            </w:pPr>
            <w:r>
              <w:rPr>
                <w:rFonts w:ascii="Arial" w:cs="Arial" w:eastAsia="Arial" w:hAnsi="Arial"/>
                <w:color w:val="333333"/>
                <w:sz w:val="20"/>
                <w:szCs w:val="20"/>
              </w:rPr>
              <w:t xml:space="preserve">D. A legal compliance framework ensuring all mandatory benefits are provided according to national insurance legislation</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C</w:t>
            </w:r>
            <w:r>
              <w:rPr>
                <w:rFonts w:ascii="Arial" w:cs="Arial" w:eastAsia="Arial" w:hAnsi="Arial"/>
                <w:color w:val="444444"/>
                <w:sz w:val="18"/>
                <w:szCs w:val="18"/>
              </w:rPr>
              <w:t xml:space="preserve">    |    A total protection strategy moves beyond administering individual products in isolation to designing a coherent protection portfolio. When communicated as an integrated package — 'here is how the organization protects you and your family across all major risks' — the perceived value is significantly higher than when each benefit is explained separately.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A7D44"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60</w:t>
            </w:r>
          </w:p>
        </w:tc>
        <w:tc>
          <w:tcPr>
            <w:tcW w:type="dxa" w:w="8720"/>
            <w:tcBorders>
              <w:top w:val="single" w:color="E5E5E5" w:sz="4"/>
              <w:left w:val="none" w:color="FFFFFF" w:sz="0"/>
              <w:bottom w:val="none" w:color="FFFFFF" w:sz="0"/>
              <w:right w:val="none" w:color="FFFFFF" w:sz="0"/>
            </w:tcBorders>
            <w:shd w:fill="E5F4E9" w:val="clear"/>
            <w:tcMar>
              <w:top w:type="dxa" w:w="120"/>
              <w:left w:type="dxa" w:w="160"/>
              <w:bottom w:type="dxa" w:w="80"/>
              <w:right w:type="dxa" w:w="120"/>
            </w:tcMar>
          </w:tcPr>
          <w:p>
            <w:r>
              <w:rPr>
                <w:rFonts w:ascii="Arial" w:cs="Arial" w:eastAsia="Arial" w:hAnsi="Arial"/>
                <w:b/>
                <w:bCs/>
                <w:color w:val="1A1A1A"/>
                <w:sz w:val="22"/>
                <w:szCs w:val="22"/>
              </w:rPr>
              <w:t xml:space="preserve">What is 'benefits ROI' and how can it be calculated?</w:t>
            </w:r>
          </w:p>
        </w:tc>
      </w:tr>
      <w:tr>
        <w:tc>
          <w:tcPr>
            <w:tcW w:type="dxa" w:w="640"/>
            <w:tcBorders>
              <w:top w:val="none" w:color="FFFFFF" w:sz="0"/>
              <w:left w:val="none" w:color="FFFFFF" w:sz="0"/>
              <w:bottom w:val="none" w:color="FFFFFF" w:sz="0"/>
              <w:right w:val="none" w:color="FFFFFF" w:sz="0"/>
            </w:tcBorders>
            <w:shd w:fill="3A7D44" w:val="clear"/>
          </w:tcPr>
          <w:p>
            <w:r>
              <w:t xml:space="preserve"/>
            </w:r>
          </w:p>
        </w:tc>
        <w:tc>
          <w:tcPr>
            <w:tcW w:type="dxa" w:w="8720"/>
            <w:tcBorders>
              <w:top w:val="none" w:color="FFFFFF" w:sz="0"/>
              <w:left w:val="none" w:color="FFFFFF" w:sz="0"/>
              <w:bottom w:val="none" w:color="FFFFFF" w:sz="0"/>
              <w:right w:val="none" w:color="FFFFFF" w:sz="0"/>
            </w:tcBorders>
            <w:shd w:fill="E5F4E9"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return generated by the organization's pension fund investments over the year</w:t>
            </w:r>
          </w:p>
          <w:p>
            <w:pPr>
              <w:spacing w:after="40" w:before="40"/>
            </w:pPr>
            <w:r>
              <w:rPr>
                <w:rFonts w:ascii="Arial" w:cs="Arial" w:eastAsia="Arial" w:hAnsi="Arial"/>
                <w:color w:val="333333"/>
                <w:sz w:val="20"/>
                <w:szCs w:val="20"/>
              </w:rPr>
              <w:t xml:space="preserve">B. A ratio comparing the cost of the benefits administration team to the total value of benefits provided</w:t>
            </w:r>
          </w:p>
          <w:p>
            <w:pPr>
              <w:spacing w:after="40" w:before="40"/>
            </w:pPr>
            <w:r>
              <w:rPr>
                <w:rFonts w:ascii="Arial" w:cs="Arial" w:eastAsia="Arial" w:hAnsi="Arial"/>
                <w:color w:val="333333"/>
                <w:sz w:val="20"/>
                <w:szCs w:val="20"/>
              </w:rPr>
              <w:t xml:space="preserve">C. The percentage of employees who participate in at least one voluntary benefit program</w:t>
            </w:r>
          </w:p>
          <w:p>
            <w:pPr>
              <w:spacing w:after="40" w:before="40"/>
            </w:pPr>
            <w:r>
              <w:rPr>
                <w:rFonts w:ascii="Arial" w:cs="Arial" w:eastAsia="Arial" w:hAnsi="Arial"/>
                <w:color w:val="333333"/>
                <w:sz w:val="20"/>
                <w:szCs w:val="20"/>
              </w:rPr>
              <w:t xml:space="preserve">D. A measurement of the business value generated by benefits investments relative to their cost — including financial returns from reduced turnover (avoided replacement costs), reduced absenteeism (saved productivity), improved engagement (productivity uplift), and enhanced recruitment effectiveness (reduced time-to-hire and agency spend) — set against the total cost of providing the benefits</w:t>
            </w:r>
          </w:p>
        </w:tc>
      </w:tr>
      <w:tr>
        <w:tc>
          <w:tcPr>
            <w:tcW w:type="dxa" w:w="640"/>
            <w:tcBorders>
              <w:top w:val="none" w:color="FFFFFF" w:sz="0"/>
              <w:left w:val="none" w:color="FFFFFF" w:sz="0"/>
              <w:bottom w:val="none" w:color="FFFFFF" w:sz="0"/>
              <w:right w:val="none" w:color="FFFFFF" w:sz="0"/>
            </w:tcBorders>
            <w:shd w:fill="3A7D44"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5F4E9" w:val="clear"/>
            <w:tcMar>
              <w:top w:type="dxa" w:w="80"/>
              <w:left w:type="dxa" w:w="160"/>
              <w:bottom w:type="dxa" w:w="100"/>
              <w:right w:type="dxa" w:w="120"/>
            </w:tcMar>
          </w:tcPr>
          <w:p>
            <w:r>
              <w:rPr>
                <w:rFonts w:ascii="Arial" w:cs="Arial" w:eastAsia="Arial" w:hAnsi="Arial"/>
                <w:b/>
                <w:bCs/>
                <w:color w:val="3A7D44"/>
                <w:sz w:val="20"/>
                <w:szCs w:val="20"/>
              </w:rPr>
              <w:t xml:space="preserve">Answer: D</w:t>
            </w:r>
            <w:r>
              <w:rPr>
                <w:rFonts w:ascii="Arial" w:cs="Arial" w:eastAsia="Arial" w:hAnsi="Arial"/>
                <w:color w:val="444444"/>
                <w:sz w:val="18"/>
                <w:szCs w:val="18"/>
              </w:rPr>
              <w:t xml:space="preserve">    |    Calculating benefits ROI demonstrates that benefits are investments rather than costs. A well-designed parental leave policy may cost $50,000 in additional leave provision but save $200,000 in avoided recruitment costs if it retains two employees who would otherwise have left. Surfacing these numbers repositions benefits conversations from cost control to value optimization.</w:t>
            </w:r>
          </w:p>
        </w:tc>
      </w:tr>
    </w:tbl>
    <w:p>
      <w:pPr>
        <w:spacing w:after="200" w:before="0"/>
      </w:pPr>
      <w:r>
        <w:t xml:space="preserve"/>
      </w:r>
    </w:p>
    <w:p>
      <w:r>
        <w:br w:type="page"/>
      </w:r>
    </w:p>
    <w:p>
      <w:pPr>
        <w:shd w:fill="C8963E" w:val="clear"/>
        <w:spacing w:after="0" w:before="480"/>
      </w:pPr>
      <w:r>
        <w:rPr>
          <w:rFonts w:ascii="Arial" w:cs="Arial" w:eastAsia="Arial" w:hAnsi="Arial"/>
          <w:b/>
          <w:bCs/>
          <w:color w:val="FFFFFF"/>
          <w:sz w:val="28"/>
          <w:szCs w:val="28"/>
        </w:rPr>
        <w:t xml:space="preserve">  Variable Pay &amp; Incentives  </w:t>
      </w:r>
    </w:p>
    <w:p>
      <w:pPr>
        <w:shd w:fill="C8963E" w:val="clear"/>
        <w:spacing w:after="240" w:before="0"/>
      </w:pPr>
      <w:r>
        <w:rPr>
          <w:rFonts w:ascii="Arial" w:cs="Arial" w:eastAsia="Arial" w:hAnsi="Arial"/>
          <w:color w:val="FFFFFF"/>
          <w:sz w:val="18"/>
          <w:szCs w:val="18"/>
        </w:rPr>
        <w:t xml:space="preserve">  Questions Q61 – Q72</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61</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a 'draw against commission' arrangement in sales compensation?</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An arrangement where a salesperson receives a guaranteed advance payment — either recoverable (the salesperson must repay draws exceeding earned commission) or non-recoverable (functioning as a guaranteed minimum) — providing income stability during ramp-up periods or slow sales cycles while maintaining the incentive structure of commission-based pay</w:t>
            </w:r>
          </w:p>
          <w:p>
            <w:pPr>
              <w:spacing w:after="40" w:before="40"/>
            </w:pPr>
            <w:r>
              <w:rPr>
                <w:rFonts w:ascii="Arial" w:cs="Arial" w:eastAsia="Arial" w:hAnsi="Arial"/>
                <w:color w:val="333333"/>
                <w:sz w:val="20"/>
                <w:szCs w:val="20"/>
              </w:rPr>
              <w:t xml:space="preserve">B. A commission plan where the salesperson literally draws their commission from a shared pool before it is calculated</w:t>
            </w:r>
          </w:p>
          <w:p>
            <w:pPr>
              <w:spacing w:after="40" w:before="40"/>
            </w:pPr>
            <w:r>
              <w:rPr>
                <w:rFonts w:ascii="Arial" w:cs="Arial" w:eastAsia="Arial" w:hAnsi="Arial"/>
                <w:color w:val="333333"/>
                <w:sz w:val="20"/>
                <w:szCs w:val="20"/>
              </w:rPr>
              <w:t xml:space="preserve">C. A system where sales managers draw their commission based on the performance of their entire team rather than individually</w:t>
            </w:r>
          </w:p>
          <w:p>
            <w:pPr>
              <w:spacing w:after="40" w:before="40"/>
            </w:pPr>
            <w:r>
              <w:rPr>
                <w:rFonts w:ascii="Arial" w:cs="Arial" w:eastAsia="Arial" w:hAnsi="Arial"/>
                <w:color w:val="333333"/>
                <w:sz w:val="20"/>
                <w:szCs w:val="20"/>
              </w:rPr>
              <w:t xml:space="preserve">D. A form of advance on salary permitted only during financial hardship circumstances approved by HR</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A</w:t>
            </w:r>
            <w:r>
              <w:rPr>
                <w:rFonts w:ascii="Arial" w:cs="Arial" w:eastAsia="Arial" w:hAnsi="Arial"/>
                <w:color w:val="444444"/>
                <w:sz w:val="18"/>
                <w:szCs w:val="18"/>
              </w:rPr>
              <w:t xml:space="preserve">    |    Draws solve the income stability problem in pure commission models. A new salesperson during their first months in role — before they have built a pipeline — needs predictable income. A draw provides it, with recoverable draws creating incentive for early performance and non-recoverable draws functioning more as a guaranteed minimum.</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62</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a SPIFF (Sales Performance Incentive Fund) in variable pay design?</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standard performance rating tool used in annual performance reviews for sales employees</w:t>
            </w:r>
          </w:p>
          <w:p>
            <w:pPr>
              <w:spacing w:after="40" w:before="40"/>
            </w:pPr>
            <w:r>
              <w:rPr>
                <w:rFonts w:ascii="Arial" w:cs="Arial" w:eastAsia="Arial" w:hAnsi="Arial"/>
                <w:color w:val="333333"/>
                <w:sz w:val="20"/>
                <w:szCs w:val="20"/>
              </w:rPr>
              <w:t xml:space="preserve">B. A short-term, tactical incentive — typically offering a cash bonus or non-cash reward — targeted at driving a specific sales behavior within a defined period: for example, promoting a new product, clearing excess inventory, or accelerating deals in a particular quarter</w:t>
            </w:r>
          </w:p>
          <w:p>
            <w:pPr>
              <w:spacing w:after="40" w:before="40"/>
            </w:pPr>
            <w:r>
              <w:rPr>
                <w:rFonts w:ascii="Arial" w:cs="Arial" w:eastAsia="Arial" w:hAnsi="Arial"/>
                <w:color w:val="333333"/>
                <w:sz w:val="20"/>
                <w:szCs w:val="20"/>
              </w:rPr>
              <w:t xml:space="preserve">C. A mandatory industry-wide sales commission scheme regulated by financial services authorities</w:t>
            </w:r>
          </w:p>
          <w:p>
            <w:pPr>
              <w:spacing w:after="40" w:before="40"/>
            </w:pPr>
            <w:r>
              <w:rPr>
                <w:rFonts w:ascii="Arial" w:cs="Arial" w:eastAsia="Arial" w:hAnsi="Arial"/>
                <w:color w:val="333333"/>
                <w:sz w:val="20"/>
                <w:szCs w:val="20"/>
              </w:rPr>
              <w:t xml:space="preserve">D. A long-term equity plan designed to retain top sales performers over a three-year period</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SPIFFs are tactical acceleration tools. Unlike annual commission plans (which drive overall revenue), a SPIFF might offer $500 for every unit of a specific new product sold in a single month — creating immediate behavioral focus. They are effective for specific, time-bound objectives but should not substitute for well-designed core commission plans.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63</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'sales crediting' in commission plan design and why must it be governed carefully?</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process of calculating the total commission pool available for distribution to the sales team</w:t>
            </w:r>
          </w:p>
          <w:p>
            <w:pPr>
              <w:spacing w:after="40" w:before="40"/>
            </w:pPr>
            <w:r>
              <w:rPr>
                <w:rFonts w:ascii="Arial" w:cs="Arial" w:eastAsia="Arial" w:hAnsi="Arial"/>
                <w:color w:val="333333"/>
                <w:sz w:val="20"/>
                <w:szCs w:val="20"/>
              </w:rPr>
              <w:t xml:space="preserve">B. A system for recording and tracking sales transactions in the payroll system</w:t>
            </w:r>
          </w:p>
          <w:p>
            <w:pPr>
              <w:spacing w:after="40" w:before="40"/>
            </w:pPr>
            <w:r>
              <w:rPr>
                <w:rFonts w:ascii="Arial" w:cs="Arial" w:eastAsia="Arial" w:hAnsi="Arial"/>
                <w:color w:val="333333"/>
                <w:sz w:val="20"/>
                <w:szCs w:val="20"/>
              </w:rPr>
              <w:t xml:space="preserve">C. The rules that determine which salesperson or team receives credit — and in what proportion — for a given sale, particularly in complex situations involving team selling, geographic overlap, customer transitions, or partner channels. Poor crediting rules create disputes, demotivation, and gaming of the system</w:t>
            </w:r>
          </w:p>
          <w:p>
            <w:pPr>
              <w:spacing w:after="40" w:before="40"/>
            </w:pPr>
            <w:r>
              <w:rPr>
                <w:rFonts w:ascii="Arial" w:cs="Arial" w:eastAsia="Arial" w:hAnsi="Arial"/>
                <w:color w:val="333333"/>
                <w:sz w:val="20"/>
                <w:szCs w:val="20"/>
              </w:rPr>
              <w:t xml:space="preserve">D. A regulatory requirement for commission plans in the financial services industry</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C</w:t>
            </w:r>
            <w:r>
              <w:rPr>
                <w:rFonts w:ascii="Arial" w:cs="Arial" w:eastAsia="Arial" w:hAnsi="Arial"/>
                <w:color w:val="444444"/>
                <w:sz w:val="18"/>
                <w:szCs w:val="18"/>
              </w:rPr>
              <w:t xml:space="preserve">    |    Sales crediting disputes are among the most common and damaging sources of demotivation in sales teams. When two salespeople both claim credit for the same deal, or when an account moves between territories mid-negotiation, ambiguous rules create winners and losers who feel unfairly treated. Clear, documented, consistently applied crediting rules prevent most disputes.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64</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a 'team incentive pool distribution' approach and what methods are commonly used?</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An incentive where all team members automatically receive an identical cash payment regardless of individual contribution</w:t>
            </w:r>
          </w:p>
          <w:p>
            <w:pPr>
              <w:spacing w:after="40" w:before="40"/>
            </w:pPr>
            <w:r>
              <w:rPr>
                <w:rFonts w:ascii="Arial" w:cs="Arial" w:eastAsia="Arial" w:hAnsi="Arial"/>
                <w:color w:val="333333"/>
                <w:sz w:val="20"/>
                <w:szCs w:val="20"/>
              </w:rPr>
              <w:t xml:space="preserve">B. A plan where only the highest-performing team member receives any incentive payout</w:t>
            </w:r>
          </w:p>
          <w:p>
            <w:pPr>
              <w:spacing w:after="40" w:before="40"/>
            </w:pPr>
            <w:r>
              <w:rPr>
                <w:rFonts w:ascii="Arial" w:cs="Arial" w:eastAsia="Arial" w:hAnsi="Arial"/>
                <w:color w:val="333333"/>
                <w:sz w:val="20"/>
                <w:szCs w:val="20"/>
              </w:rPr>
              <w:t xml:space="preserve">C. A system where team incentive funds are paid entirely to the team manager for redistribution at their discretion</w:t>
            </w:r>
          </w:p>
          <w:p>
            <w:pPr>
              <w:spacing w:after="40" w:before="40"/>
            </w:pPr>
            <w:r>
              <w:rPr>
                <w:rFonts w:ascii="Arial" w:cs="Arial" w:eastAsia="Arial" w:hAnsi="Arial"/>
                <w:color w:val="333333"/>
                <w:sz w:val="20"/>
                <w:szCs w:val="20"/>
              </w:rPr>
              <w:t xml:space="preserve">D. The methodology for dividing a team-level incentive pool among individual team members — common approaches include equal shares (simplest, reinforces collectivism), shares proportional to base salary (reflects seniority), or shares moderated by individual performance ratings (balancing team and individual reward)</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D</w:t>
            </w:r>
            <w:r>
              <w:rPr>
                <w:rFonts w:ascii="Arial" w:cs="Arial" w:eastAsia="Arial" w:hAnsi="Arial"/>
                <w:color w:val="444444"/>
                <w:sz w:val="18"/>
                <w:szCs w:val="18"/>
              </w:rPr>
              <w:t xml:space="preserve">    |    Pool distribution methodology materially affects team dynamics. Equal distribution reinforces pure collectivism but may be demotivating for high performers. Performance-moderated distribution preserves individual differentiation within a team context. The right choice depends on how interdependent the team's work actually is.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65</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the distinction between a 'discretionary' bonus and a 'formulaic' (contractual) bonus?</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discretionary bonus is awarded based on management judgment about overall contribution without a defined formula or guaranteed amount — preserving organizational flexibility. A formulaic bonus is calculated according to a pre-defined formula linked to measurable outcomes — creating predictability and line of sight for employees but obligating the organization to pay when conditions are met</w:t>
            </w:r>
          </w:p>
          <w:p>
            <w:pPr>
              <w:spacing w:after="40" w:before="40"/>
            </w:pPr>
            <w:r>
              <w:rPr>
                <w:rFonts w:ascii="Arial" w:cs="Arial" w:eastAsia="Arial" w:hAnsi="Arial"/>
                <w:color w:val="333333"/>
                <w:sz w:val="20"/>
                <w:szCs w:val="20"/>
              </w:rPr>
              <w:t xml:space="preserve">B. Discretionary bonuses are always paid in equity; formulaic bonuses are always paid in cash</w:t>
            </w:r>
          </w:p>
          <w:p>
            <w:pPr>
              <w:spacing w:after="40" w:before="40"/>
            </w:pPr>
            <w:r>
              <w:rPr>
                <w:rFonts w:ascii="Arial" w:cs="Arial" w:eastAsia="Arial" w:hAnsi="Arial"/>
                <w:color w:val="333333"/>
                <w:sz w:val="20"/>
                <w:szCs w:val="20"/>
              </w:rPr>
              <w:t xml:space="preserve">C. Discretionary bonuses are available only to senior management; formulaic bonuses apply to all staff</w:t>
            </w:r>
          </w:p>
          <w:p>
            <w:pPr>
              <w:spacing w:after="40" w:before="40"/>
            </w:pPr>
            <w:r>
              <w:rPr>
                <w:rFonts w:ascii="Arial" w:cs="Arial" w:eastAsia="Arial" w:hAnsi="Arial"/>
                <w:color w:val="333333"/>
                <w:sz w:val="20"/>
                <w:szCs w:val="20"/>
              </w:rPr>
              <w:t xml:space="preserve">D. Formulaic bonuses require board approval; discretionary bonuses can be approved by HR alone</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A</w:t>
            </w:r>
            <w:r>
              <w:rPr>
                <w:rFonts w:ascii="Arial" w:cs="Arial" w:eastAsia="Arial" w:hAnsi="Arial"/>
                <w:color w:val="444444"/>
                <w:sz w:val="18"/>
                <w:szCs w:val="18"/>
              </w:rPr>
              <w:t xml:space="preserve">    |    The discretionary vs formulaic distinction has significant legal, motivational, and financial implications. Formulaic bonuses may constitute contractual obligations — failure to pay when conditions are met can create legal exposure. Discretionary bonuses provide flexibility but reduce line of sight and may breed cynicism if the discretion appears arbitrary or biased.</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66</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'mid-year incentive target adjustment' and when might it be appropriate?</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process of automatically increasing all bonus targets by 5% at the midpoint of each year</w:t>
            </w:r>
          </w:p>
          <w:p>
            <w:pPr>
              <w:spacing w:after="40" w:before="40"/>
            </w:pPr>
            <w:r>
              <w:rPr>
                <w:rFonts w:ascii="Arial" w:cs="Arial" w:eastAsia="Arial" w:hAnsi="Arial"/>
                <w:color w:val="333333"/>
                <w:sz w:val="20"/>
                <w:szCs w:val="20"/>
              </w:rPr>
              <w:t xml:space="preserve">B. A governance-approved revision to performance targets part-way through an incentive cycle — justified when the original targets have been rendered unmeaningful by circumstances clearly outside the employees' control, such as a major economic shock, significant business restructuring, or a market disruption that fundamentally changed the commercial landscape</w:t>
            </w:r>
          </w:p>
          <w:p>
            <w:pPr>
              <w:spacing w:after="40" w:before="40"/>
            </w:pPr>
            <w:r>
              <w:rPr>
                <w:rFonts w:ascii="Arial" w:cs="Arial" w:eastAsia="Arial" w:hAnsi="Arial"/>
                <w:color w:val="333333"/>
                <w:sz w:val="20"/>
                <w:szCs w:val="20"/>
              </w:rPr>
              <w:t xml:space="preserve">C. A routine practice used to reduce incentive costs whenever the company's financial performance falls short of budget</w:t>
            </w:r>
          </w:p>
          <w:p>
            <w:pPr>
              <w:spacing w:after="40" w:before="40"/>
            </w:pPr>
            <w:r>
              <w:rPr>
                <w:rFonts w:ascii="Arial" w:cs="Arial" w:eastAsia="Arial" w:hAnsi="Arial"/>
                <w:color w:val="333333"/>
                <w:sz w:val="20"/>
                <w:szCs w:val="20"/>
              </w:rPr>
              <w:t xml:space="preserve">D. An individual adjustment made when an employee transfers to a different role during the performance year</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Mid-year adjustments are rare and require rigorous governance. They are justified when targets have become irrelevant — not simply difficult. Adjusting targets whenever performance is challenging would undermine the pay-for-performance intent entirely. Good governance requires documented justification, board or remuneration committee approval for senior plans, and careful communication.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67</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an 'incentive clawback' provision and in what circumstances is it typically triggered?</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provision allowing employees to claim additional incentive payments if they believe their performance was undervalued in the original assessment</w:t>
            </w:r>
          </w:p>
          <w:p>
            <w:pPr>
              <w:spacing w:after="40" w:before="40"/>
            </w:pPr>
            <w:r>
              <w:rPr>
                <w:rFonts w:ascii="Arial" w:cs="Arial" w:eastAsia="Arial" w:hAnsi="Arial"/>
                <w:color w:val="333333"/>
                <w:sz w:val="20"/>
                <w:szCs w:val="20"/>
              </w:rPr>
              <w:t xml:space="preserve">B. A right for employees to reclaim incentive payments that were incorrectly deducted from their pay</w:t>
            </w:r>
          </w:p>
          <w:p>
            <w:pPr>
              <w:spacing w:after="40" w:before="40"/>
            </w:pPr>
            <w:r>
              <w:rPr>
                <w:rFonts w:ascii="Arial" w:cs="Arial" w:eastAsia="Arial" w:hAnsi="Arial"/>
                <w:color w:val="333333"/>
                <w:sz w:val="20"/>
                <w:szCs w:val="20"/>
              </w:rPr>
              <w:t xml:space="preserve">C. A contractual right for the organization to recover previously paid incentive amounts from an employee in defined circumstances — such as misconduct, material misstatement of financial results on which the incentive was calculated, regulatory breach, or departure within a specified period. Particularly prevalent in financial services and for senior roles</w:t>
            </w:r>
          </w:p>
          <w:p>
            <w:pPr>
              <w:spacing w:after="40" w:before="40"/>
            </w:pPr>
            <w:r>
              <w:rPr>
                <w:rFonts w:ascii="Arial" w:cs="Arial" w:eastAsia="Arial" w:hAnsi="Arial"/>
                <w:color w:val="333333"/>
                <w:sz w:val="20"/>
                <w:szCs w:val="20"/>
              </w:rPr>
              <w:t xml:space="preserve">D. A process by which managers can reduce an employee's future bonus to compensate for poor performance in a previous year</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C</w:t>
            </w:r>
            <w:r>
              <w:rPr>
                <w:rFonts w:ascii="Arial" w:cs="Arial" w:eastAsia="Arial" w:hAnsi="Arial"/>
                <w:color w:val="444444"/>
                <w:sz w:val="18"/>
                <w:szCs w:val="18"/>
              </w:rPr>
              <w:t xml:space="preserve">    |    Clawback provisions serve multiple governance functions: they deter misconduct, enable correction when incentives were paid on subsequently restated results, and create accountability for the consequences of decisions made during the measurement period. Effective clawback requires clear contractual language, defined triggers, and practical enforceability.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68</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'incentive plan complexity' and why is it a risk to manage?</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administrative burden of running multiple bonus programs simultaneously in a large HR team</w:t>
            </w:r>
          </w:p>
          <w:p>
            <w:pPr>
              <w:spacing w:after="40" w:before="40"/>
            </w:pPr>
            <w:r>
              <w:rPr>
                <w:rFonts w:ascii="Arial" w:cs="Arial" w:eastAsia="Arial" w:hAnsi="Arial"/>
                <w:color w:val="333333"/>
                <w:sz w:val="20"/>
                <w:szCs w:val="20"/>
              </w:rPr>
              <w:t xml:space="preserve">B. A measure of how many approval steps are required before an incentive payment is released</w:t>
            </w:r>
          </w:p>
          <w:p>
            <w:pPr>
              <w:spacing w:after="40" w:before="40"/>
            </w:pPr>
            <w:r>
              <w:rPr>
                <w:rFonts w:ascii="Arial" w:cs="Arial" w:eastAsia="Arial" w:hAnsi="Arial"/>
                <w:color w:val="333333"/>
                <w:sz w:val="20"/>
                <w:szCs w:val="20"/>
              </w:rPr>
              <w:t xml:space="preserve">C. The range of different performance measures used across different divisions of the organization</w:t>
            </w:r>
          </w:p>
          <w:p>
            <w:pPr>
              <w:spacing w:after="40" w:before="40"/>
            </w:pPr>
            <w:r>
              <w:rPr>
                <w:rFonts w:ascii="Arial" w:cs="Arial" w:eastAsia="Arial" w:hAnsi="Arial"/>
                <w:color w:val="333333"/>
                <w:sz w:val="20"/>
                <w:szCs w:val="20"/>
              </w:rPr>
              <w:t xml:space="preserve">D. When an incentive plan has so many measures, weightings, modifiers, gateways, and calculation steps that most participants cannot understand how their payout is determined — destroying line of sight, reducing motivational impact, creating disputes about calculations, and generating administrative errors. Complexity that serves governance objectives is different from complexity that simply obscures the incentive logic</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D</w:t>
            </w:r>
            <w:r>
              <w:rPr>
                <w:rFonts w:ascii="Arial" w:cs="Arial" w:eastAsia="Arial" w:hAnsi="Arial"/>
                <w:color w:val="444444"/>
                <w:sz w:val="18"/>
                <w:szCs w:val="18"/>
              </w:rPr>
              <w:t xml:space="preserve">    |    Incentive plan complexity is a genuine enemy of effectiveness. If an employee cannot explain how their bonus is calculated in simple terms, the plan has lost its motivational function and become simply a delayed, variable salary supplement. Good incentive design is as simple as the performance objectives allow.</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69</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'incentive plan communication' and why is it often inadequately resourced?</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processes and materials used to ensure employees fully understand their incentive plan — including eligibility, measures, targets, calculation methodology, payment timing, and what they personally need to do to influence their outcome. It is frequently under-resourced because organizations focus on plan design but underestimate the ongoing investment needed to convert a well-designed plan into actual behavioral change</w:t>
            </w:r>
          </w:p>
          <w:p>
            <w:pPr>
              <w:spacing w:after="40" w:before="40"/>
            </w:pPr>
            <w:r>
              <w:rPr>
                <w:rFonts w:ascii="Arial" w:cs="Arial" w:eastAsia="Arial" w:hAnsi="Arial"/>
                <w:color w:val="333333"/>
                <w:sz w:val="20"/>
                <w:szCs w:val="20"/>
              </w:rPr>
              <w:t xml:space="preserve">B. The regulatory filing that organizations must submit when they launch a new incentive scheme</w:t>
            </w:r>
          </w:p>
          <w:p>
            <w:pPr>
              <w:spacing w:after="40" w:before="40"/>
            </w:pPr>
            <w:r>
              <w:rPr>
                <w:rFonts w:ascii="Arial" w:cs="Arial" w:eastAsia="Arial" w:hAnsi="Arial"/>
                <w:color w:val="333333"/>
                <w:sz w:val="20"/>
                <w:szCs w:val="20"/>
              </w:rPr>
              <w:t xml:space="preserve">C. The process by which incentive payments are communicated to employees via their payslip only</w:t>
            </w:r>
          </w:p>
          <w:p>
            <w:pPr>
              <w:spacing w:after="40" w:before="40"/>
            </w:pPr>
            <w:r>
              <w:rPr>
                <w:rFonts w:ascii="Arial" w:cs="Arial" w:eastAsia="Arial" w:hAnsi="Arial"/>
                <w:color w:val="333333"/>
                <w:sz w:val="20"/>
                <w:szCs w:val="20"/>
              </w:rPr>
              <w:t xml:space="preserve">D. A mandatory public disclosure of all incentive plan details required by listed companies</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A</w:t>
            </w:r>
            <w:r>
              <w:rPr>
                <w:rFonts w:ascii="Arial" w:cs="Arial" w:eastAsia="Arial" w:hAnsi="Arial"/>
                <w:color w:val="444444"/>
                <w:sz w:val="18"/>
                <w:szCs w:val="18"/>
              </w:rPr>
              <w:t xml:space="preserve">    |    The best-designed incentive plan delivers zero behavioral change if employees do not understand it. Communication investment — including individual target letters, manager briefing packs, FAQ documents, and regular performance updates — is the bridge between plan design and motivational impact. Many organizations invest heavily in design and minimally in communication, significantly reducing ROI.</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70</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'non-financial recognition' and how does it complement monetary incentives?</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Recognition programs that are entirely free for the organization to deliver and require no budget allocation</w:t>
            </w:r>
          </w:p>
          <w:p>
            <w:pPr>
              <w:spacing w:after="40" w:before="40"/>
            </w:pPr>
            <w:r>
              <w:rPr>
                <w:rFonts w:ascii="Arial" w:cs="Arial" w:eastAsia="Arial" w:hAnsi="Arial"/>
                <w:color w:val="333333"/>
                <w:sz w:val="20"/>
                <w:szCs w:val="20"/>
              </w:rPr>
              <w:t xml:space="preserve">B. Forms of acknowledgment that carry no direct monetary value — such as public recognition, manager praise, increased responsibility, project leadership opportunities, peer nominations, and career development conversations — which research consistently shows are among the most powerful drivers of engagement, motivation, and loyalty, particularly when monetary rewards have reached a point of diminishing returns</w:t>
            </w:r>
          </w:p>
          <w:p>
            <w:pPr>
              <w:spacing w:after="40" w:before="40"/>
            </w:pPr>
            <w:r>
              <w:rPr>
                <w:rFonts w:ascii="Arial" w:cs="Arial" w:eastAsia="Arial" w:hAnsi="Arial"/>
                <w:color w:val="333333"/>
                <w:sz w:val="20"/>
                <w:szCs w:val="20"/>
              </w:rPr>
              <w:t xml:space="preserve">C. A government subsidy program for organizations that recognize employee performance without financial payments</w:t>
            </w:r>
          </w:p>
          <w:p>
            <w:pPr>
              <w:spacing w:after="40" w:before="40"/>
            </w:pPr>
            <w:r>
              <w:rPr>
                <w:rFonts w:ascii="Arial" w:cs="Arial" w:eastAsia="Arial" w:hAnsi="Arial"/>
                <w:color w:val="333333"/>
                <w:sz w:val="20"/>
                <w:szCs w:val="20"/>
              </w:rPr>
              <w:t xml:space="preserve">D. Any recognition that is paid in non-cash form, such as vouchers, gifts, or experience rewards</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B</w:t>
            </w:r>
            <w:r>
              <w:rPr>
                <w:rFonts w:ascii="Arial" w:cs="Arial" w:eastAsia="Arial" w:hAnsi="Arial"/>
                <w:color w:val="444444"/>
                <w:sz w:val="18"/>
                <w:szCs w:val="18"/>
              </w:rPr>
              <w:t xml:space="preserve">    |    Non-financial recognition addresses human needs that money cannot fully meet: the need to feel seen, appreciated, and valued by people who matter. Research (including Gallup's extensive engagement studies) shows that frequent, specific, sincere manager recognition is one of the strongest predictors of engagement — and its incremental cost is minimal compared to its impact.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71</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a 'windfall profit adjustment' mechanism in incentive plan design?</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An automatic increase in bonus payouts whenever the company exceeds its budget by any amount</w:t>
            </w:r>
          </w:p>
          <w:p>
            <w:pPr>
              <w:spacing w:after="40" w:before="40"/>
            </w:pPr>
            <w:r>
              <w:rPr>
                <w:rFonts w:ascii="Arial" w:cs="Arial" w:eastAsia="Arial" w:hAnsi="Arial"/>
                <w:color w:val="333333"/>
                <w:sz w:val="20"/>
                <w:szCs w:val="20"/>
              </w:rPr>
              <w:t xml:space="preserve">B. A mechanism that redirects unexpected profits directly to the employee incentive pool without board approval</w:t>
            </w:r>
          </w:p>
          <w:p>
            <w:pPr>
              <w:spacing w:after="40" w:before="40"/>
            </w:pPr>
            <w:r>
              <w:rPr>
                <w:rFonts w:ascii="Arial" w:cs="Arial" w:eastAsia="Arial" w:hAnsi="Arial"/>
                <w:color w:val="333333"/>
                <w:sz w:val="20"/>
                <w:szCs w:val="20"/>
              </w:rPr>
              <w:t xml:space="preserve">C. A governance feature that allows the remuneration committee or management to exercise judgment to reduce incentive payouts when exceptional results were driven primarily by external factors — such as currency movements, commodity price changes, or market disruptions — rather than management skill or employee effort, ensuring rewards reflect genuine performance rather than luck</w:t>
            </w:r>
          </w:p>
          <w:p>
            <w:pPr>
              <w:spacing w:after="40" w:before="40"/>
            </w:pPr>
            <w:r>
              <w:rPr>
                <w:rFonts w:ascii="Arial" w:cs="Arial" w:eastAsia="Arial" w:hAnsi="Arial"/>
                <w:color w:val="333333"/>
                <w:sz w:val="20"/>
                <w:szCs w:val="20"/>
              </w:rPr>
              <w:t xml:space="preserve">D. A bonus plan that only activates when profits exceed a very high threshold, protecting the company during normal operating years</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C</w:t>
            </w:r>
            <w:r>
              <w:rPr>
                <w:rFonts w:ascii="Arial" w:cs="Arial" w:eastAsia="Arial" w:hAnsi="Arial"/>
                <w:color w:val="444444"/>
                <w:sz w:val="18"/>
                <w:szCs w:val="18"/>
              </w:rPr>
              <w:t xml:space="preserve">    |    Windfall adjustments protect the integrity of pay-for-performance. When an organization's results are dramatically boosted by external factors entirely outside management control, paying large bonuses on those results rewards luck rather than effort. Remuneration committees increasingly build discretion to adjust for windfall factors into plan design.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C8963E"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72</w:t>
            </w:r>
          </w:p>
        </w:tc>
        <w:tc>
          <w:tcPr>
            <w:tcW w:type="dxa" w:w="8720"/>
            <w:tcBorders>
              <w:top w:val="single" w:color="E5E5E5" w:sz="4"/>
              <w:left w:val="none" w:color="FFFFFF" w:sz="0"/>
              <w:bottom w:val="none" w:color="FFFFFF" w:sz="0"/>
              <w:right w:val="none" w:color="FFFFFF" w:sz="0"/>
            </w:tcBorders>
            <w:shd w:fill="FDF3E3" w:val="clear"/>
            <w:tcMar>
              <w:top w:type="dxa" w:w="120"/>
              <w:left w:type="dxa" w:w="160"/>
              <w:bottom w:type="dxa" w:w="80"/>
              <w:right w:type="dxa" w:w="120"/>
            </w:tcMar>
          </w:tcPr>
          <w:p>
            <w:r>
              <w:rPr>
                <w:rFonts w:ascii="Arial" w:cs="Arial" w:eastAsia="Arial" w:hAnsi="Arial"/>
                <w:b/>
                <w:bCs/>
                <w:color w:val="1A1A1A"/>
                <w:sz w:val="22"/>
                <w:szCs w:val="22"/>
              </w:rPr>
              <w:t xml:space="preserve">What is the 'incentive eligibility date' and why must it be defined precisely in plan documentation?</w:t>
            </w:r>
          </w:p>
        </w:tc>
      </w:tr>
      <w:tr>
        <w:tc>
          <w:tcPr>
            <w:tcW w:type="dxa" w:w="640"/>
            <w:tcBorders>
              <w:top w:val="none" w:color="FFFFFF" w:sz="0"/>
              <w:left w:val="none" w:color="FFFFFF" w:sz="0"/>
              <w:bottom w:val="none" w:color="FFFFFF" w:sz="0"/>
              <w:right w:val="none" w:color="FFFFFF" w:sz="0"/>
            </w:tcBorders>
            <w:shd w:fill="C8963E" w:val="clear"/>
          </w:tcPr>
          <w:p>
            <w:r>
              <w:t xml:space="preserve"/>
            </w:r>
          </w:p>
        </w:tc>
        <w:tc>
          <w:tcPr>
            <w:tcW w:type="dxa" w:w="8720"/>
            <w:tcBorders>
              <w:top w:val="none" w:color="FFFFFF" w:sz="0"/>
              <w:left w:val="none" w:color="FFFFFF" w:sz="0"/>
              <w:bottom w:val="none" w:color="FFFFFF" w:sz="0"/>
              <w:right w:val="none" w:color="FFFFFF" w:sz="0"/>
            </w:tcBorders>
            <w:shd w:fill="FDF3E3"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date on which the performance measurement period begins, before which no activities are considered in the incentive calculation</w:t>
            </w:r>
          </w:p>
          <w:p>
            <w:pPr>
              <w:spacing w:after="40" w:before="40"/>
            </w:pPr>
            <w:r>
              <w:rPr>
                <w:rFonts w:ascii="Arial" w:cs="Arial" w:eastAsia="Arial" w:hAnsi="Arial"/>
                <w:color w:val="333333"/>
                <w:sz w:val="20"/>
                <w:szCs w:val="20"/>
              </w:rPr>
              <w:t xml:space="preserve">B. The date by which the organization must decide whether to continue or modify the incentive plan for the following year</w:t>
            </w:r>
          </w:p>
          <w:p>
            <w:pPr>
              <w:spacing w:after="40" w:before="40"/>
            </w:pPr>
            <w:r>
              <w:rPr>
                <w:rFonts w:ascii="Arial" w:cs="Arial" w:eastAsia="Arial" w:hAnsi="Arial"/>
                <w:color w:val="333333"/>
                <w:sz w:val="20"/>
                <w:szCs w:val="20"/>
              </w:rPr>
              <w:t xml:space="preserve">C. The date on which incentive payments are processed through the payroll system and paid to employees</w:t>
            </w:r>
          </w:p>
          <w:p>
            <w:pPr>
              <w:spacing w:after="40" w:before="40"/>
            </w:pPr>
            <w:r>
              <w:rPr>
                <w:rFonts w:ascii="Arial" w:cs="Arial" w:eastAsia="Arial" w:hAnsi="Arial"/>
                <w:color w:val="333333"/>
                <w:sz w:val="20"/>
                <w:szCs w:val="20"/>
              </w:rPr>
              <w:t xml:space="preserve">D. The date by which an employee must be in role and meeting defined eligibility criteria — such as employment status, grade, performance standing, and time in role — to qualify for a payout. Precise definition prevents disputes about pro-rating, treatment of joiners, leavers, and employees on leave during the measurement period</w:t>
            </w:r>
          </w:p>
        </w:tc>
      </w:tr>
      <w:tr>
        <w:tc>
          <w:tcPr>
            <w:tcW w:type="dxa" w:w="640"/>
            <w:tcBorders>
              <w:top w:val="none" w:color="FFFFFF" w:sz="0"/>
              <w:left w:val="none" w:color="FFFFFF" w:sz="0"/>
              <w:bottom w:val="none" w:color="FFFFFF" w:sz="0"/>
              <w:right w:val="none" w:color="FFFFFF" w:sz="0"/>
            </w:tcBorders>
            <w:shd w:fill="C8963E"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F3E3" w:val="clear"/>
            <w:tcMar>
              <w:top w:type="dxa" w:w="80"/>
              <w:left w:type="dxa" w:w="160"/>
              <w:bottom w:type="dxa" w:w="100"/>
              <w:right w:type="dxa" w:w="120"/>
            </w:tcMar>
          </w:tcPr>
          <w:p>
            <w:r>
              <w:rPr>
                <w:rFonts w:ascii="Arial" w:cs="Arial" w:eastAsia="Arial" w:hAnsi="Arial"/>
                <w:b/>
                <w:bCs/>
                <w:color w:val="C8963E"/>
                <w:sz w:val="20"/>
                <w:szCs w:val="20"/>
              </w:rPr>
              <w:t xml:space="preserve">Answer: D</w:t>
            </w:r>
            <w:r>
              <w:rPr>
                <w:rFonts w:ascii="Arial" w:cs="Arial" w:eastAsia="Arial" w:hAnsi="Arial"/>
                <w:color w:val="444444"/>
                <w:sz w:val="18"/>
                <w:szCs w:val="18"/>
              </w:rPr>
              <w:t xml:space="preserve">    |    Eligibility rules are among the most dispute-prone elements of incentive plans. Ambiguity about whether a leaver who resigned on December 31st qualifies, whether a joiner hired in October gets a pro-rata award, or whether an employee on extended leave retains eligibility — all create grievance risk. Precise documentation prevents the vast majority of eligibility disputes.</w:t>
            </w:r>
          </w:p>
        </w:tc>
      </w:tr>
    </w:tbl>
    <w:p>
      <w:pPr>
        <w:spacing w:after="200" w:before="0"/>
      </w:pPr>
      <w:r>
        <w:t xml:space="preserve"/>
      </w:r>
    </w:p>
    <w:p>
      <w:r>
        <w:br w:type="page"/>
      </w:r>
    </w:p>
    <w:p>
      <w:pPr>
        <w:shd w:fill="2E7D8C" w:val="clear"/>
        <w:spacing w:after="0" w:before="480"/>
      </w:pPr>
      <w:r>
        <w:rPr>
          <w:rFonts w:ascii="Arial" w:cs="Arial" w:eastAsia="Arial" w:hAnsi="Arial"/>
          <w:b/>
          <w:bCs/>
          <w:color w:val="FFFFFF"/>
          <w:sz w:val="28"/>
          <w:szCs w:val="28"/>
        </w:rPr>
        <w:t xml:space="preserve">  Pay Transparency &amp; Communication  </w:t>
      </w:r>
    </w:p>
    <w:p>
      <w:pPr>
        <w:shd w:fill="2E7D8C" w:val="clear"/>
        <w:spacing w:after="240" w:before="0"/>
      </w:pPr>
      <w:r>
        <w:rPr>
          <w:rFonts w:ascii="Arial" w:cs="Arial" w:eastAsia="Arial" w:hAnsi="Arial"/>
          <w:color w:val="FFFFFF"/>
          <w:sz w:val="18"/>
          <w:szCs w:val="18"/>
        </w:rPr>
        <w:t xml:space="preserve">  Questions Q73 – Q83</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73</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a 'pay equity statement' and how does it support organizational trust?</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formal public or internal communication in which the organization describes its pay equity commitment, the methodology used to assess gaps, the key findings, and the specific actions being taken to address them — demonstrating accountability and progress rather than simply asserting fairness without evidence</w:t>
            </w:r>
          </w:p>
          <w:p>
            <w:pPr>
              <w:spacing w:after="40" w:before="40"/>
            </w:pPr>
            <w:r>
              <w:rPr>
                <w:rFonts w:ascii="Arial" w:cs="Arial" w:eastAsia="Arial" w:hAnsi="Arial"/>
                <w:color w:val="333333"/>
                <w:sz w:val="20"/>
                <w:szCs w:val="20"/>
              </w:rPr>
              <w:t xml:space="preserve">B. A legal affirmation that the organization has never engaged in pay discrimination of any kind</w:t>
            </w:r>
          </w:p>
          <w:p>
            <w:pPr>
              <w:spacing w:after="40" w:before="40"/>
            </w:pPr>
            <w:r>
              <w:rPr>
                <w:rFonts w:ascii="Arial" w:cs="Arial" w:eastAsia="Arial" w:hAnsi="Arial"/>
                <w:color w:val="333333"/>
                <w:sz w:val="20"/>
                <w:szCs w:val="20"/>
              </w:rPr>
              <w:t xml:space="preserve">C. A document certifying that all employees have been paid exactly the median market salary for their role</w:t>
            </w:r>
          </w:p>
          <w:p>
            <w:pPr>
              <w:spacing w:after="40" w:before="40"/>
            </w:pPr>
            <w:r>
              <w:rPr>
                <w:rFonts w:ascii="Arial" w:cs="Arial" w:eastAsia="Arial" w:hAnsi="Arial"/>
                <w:color w:val="333333"/>
                <w:sz w:val="20"/>
                <w:szCs w:val="20"/>
              </w:rPr>
              <w:t xml:space="preserve">D. A government-issued certificate confirming the organization has passed a pay equity audit</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A</w:t>
            </w:r>
            <w:r>
              <w:rPr>
                <w:rFonts w:ascii="Arial" w:cs="Arial" w:eastAsia="Arial" w:hAnsi="Arial"/>
                <w:color w:val="444444"/>
                <w:sz w:val="18"/>
                <w:szCs w:val="18"/>
              </w:rPr>
              <w:t xml:space="preserve">    |    Pay equity statements build trust when they are substantive and honest. Employees and investors are increasingly skeptical of vague commitments to fairness. Statements that describe specific methodology, name the gaps found, and commit to measurable remediation actions over defined timelines are far more credible than generic commitments.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74</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a 'compensation communication calendar' and what does effective implementation look like?</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payroll schedule listing the dates on which salaries are paid to employees throughout the year</w:t>
            </w:r>
          </w:p>
          <w:p>
            <w:pPr>
              <w:spacing w:after="40" w:before="40"/>
            </w:pPr>
            <w:r>
              <w:rPr>
                <w:rFonts w:ascii="Arial" w:cs="Arial" w:eastAsia="Arial" w:hAnsi="Arial"/>
                <w:color w:val="333333"/>
                <w:sz w:val="20"/>
                <w:szCs w:val="20"/>
              </w:rPr>
              <w:t xml:space="preserve">B. A structured plan mapping what reward-related messages are communicated to which audiences, through which channels, and at what times throughout the year — aligning communications with the merit cycle, enrollment periods, market updates, and key employee lifecycle moments to ensure timely, relevant, and coordinated messaging</w:t>
            </w:r>
          </w:p>
          <w:p>
            <w:pPr>
              <w:spacing w:after="40" w:before="40"/>
            </w:pPr>
            <w:r>
              <w:rPr>
                <w:rFonts w:ascii="Arial" w:cs="Arial" w:eastAsia="Arial" w:hAnsi="Arial"/>
                <w:color w:val="333333"/>
                <w:sz w:val="20"/>
                <w:szCs w:val="20"/>
              </w:rPr>
              <w:t xml:space="preserve">C. A document listing every benefit communication that HR is legally required to provide to employees</w:t>
            </w:r>
          </w:p>
          <w:p>
            <w:pPr>
              <w:spacing w:after="40" w:before="40"/>
            </w:pPr>
            <w:r>
              <w:rPr>
                <w:rFonts w:ascii="Arial" w:cs="Arial" w:eastAsia="Arial" w:hAnsi="Arial"/>
                <w:color w:val="333333"/>
                <w:sz w:val="20"/>
                <w:szCs w:val="20"/>
              </w:rPr>
              <w:t xml:space="preserve">D. An automated system that sends employees a notification whenever their salary or benefits change</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A compensation communication calendar prevents the two common failure modes: overwhelming employees with information at one time, and leaving long gaps during which employees feel uninformed. Mapping communications to lifecycle moments — new hire orientation, merit discussion, enrollment, promotion — ensures information reaches employees when it is most relevant.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75</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a 'pay range posting requirement' and which countries or regions have introduced them?</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requirement for employers to post a physical copy of their full salary structure in every workplace location</w:t>
            </w:r>
          </w:p>
          <w:p>
            <w:pPr>
              <w:spacing w:after="40" w:before="40"/>
            </w:pPr>
            <w:r>
              <w:rPr>
                <w:rFonts w:ascii="Arial" w:cs="Arial" w:eastAsia="Arial" w:hAnsi="Arial"/>
                <w:color w:val="333333"/>
                <w:sz w:val="20"/>
                <w:szCs w:val="20"/>
              </w:rPr>
              <w:t xml:space="preserve">B. An obligation for all employees to disclose their current salary when applying for internal promotions</w:t>
            </w:r>
          </w:p>
          <w:p>
            <w:pPr>
              <w:spacing w:after="40" w:before="40"/>
            </w:pPr>
            <w:r>
              <w:rPr>
                <w:rFonts w:ascii="Arial" w:cs="Arial" w:eastAsia="Arial" w:hAnsi="Arial"/>
                <w:color w:val="333333"/>
                <w:sz w:val="20"/>
                <w:szCs w:val="20"/>
              </w:rPr>
              <w:t xml:space="preserve">C. Legal requirements — enacted in jurisdictions including several US states (Colorado, New York, California), the EU Pay Transparency Directive, and others — mandating that employers include pay ranges in job postings, enabling candidates to assess whether a role is financially appropriate before investing time in an application process and supporting pay transparency objectives</w:t>
            </w:r>
          </w:p>
          <w:p>
            <w:pPr>
              <w:spacing w:after="40" w:before="40"/>
            </w:pPr>
            <w:r>
              <w:rPr>
                <w:rFonts w:ascii="Arial" w:cs="Arial" w:eastAsia="Arial" w:hAnsi="Arial"/>
                <w:color w:val="333333"/>
                <w:sz w:val="20"/>
                <w:szCs w:val="20"/>
              </w:rPr>
              <w:t xml:space="preserve">D. A requirement for organizations to publish the exact salary offered to each hired candidate in a public register</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C</w:t>
            </w:r>
            <w:r>
              <w:rPr>
                <w:rFonts w:ascii="Arial" w:cs="Arial" w:eastAsia="Arial" w:hAnsi="Arial"/>
                <w:color w:val="444444"/>
                <w:sz w:val="18"/>
                <w:szCs w:val="18"/>
              </w:rPr>
              <w:t xml:space="preserve">    |    Pay range posting laws are spreading rapidly. They fundamentally change the recruitment conversation — moving away from 'what is your current salary?' toward 'here is what this role pays.' They also create accountability: organizations that have been paying below market or inconsistently face immediate candidate awareness of those gaps when ranges are published.</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76</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'manager pay enablement' and why is it critical to pay transparency programs?</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process for giving managers authority to set salaries for their team members independently of HR guidelines</w:t>
            </w:r>
          </w:p>
          <w:p>
            <w:pPr>
              <w:spacing w:after="40" w:before="40"/>
            </w:pPr>
            <w:r>
              <w:rPr>
                <w:rFonts w:ascii="Arial" w:cs="Arial" w:eastAsia="Arial" w:hAnsi="Arial"/>
                <w:color w:val="333333"/>
                <w:sz w:val="20"/>
                <w:szCs w:val="20"/>
              </w:rPr>
              <w:t xml:space="preserve">B. A training program teaching managers how to negotiate the lowest possible salary for new hires</w:t>
            </w:r>
          </w:p>
          <w:p>
            <w:pPr>
              <w:spacing w:after="40" w:before="40"/>
            </w:pPr>
            <w:r>
              <w:rPr>
                <w:rFonts w:ascii="Arial" w:cs="Arial" w:eastAsia="Arial" w:hAnsi="Arial"/>
                <w:color w:val="333333"/>
                <w:sz w:val="20"/>
                <w:szCs w:val="20"/>
              </w:rPr>
              <w:t xml:space="preserve">C. A software tool that automates all pay decision-making so managers do not need to understand the reward framework</w:t>
            </w:r>
          </w:p>
          <w:p>
            <w:pPr>
              <w:spacing w:after="40" w:before="40"/>
            </w:pPr>
            <w:r>
              <w:rPr>
                <w:rFonts w:ascii="Arial" w:cs="Arial" w:eastAsia="Arial" w:hAnsi="Arial"/>
                <w:color w:val="333333"/>
                <w:sz w:val="20"/>
                <w:szCs w:val="20"/>
              </w:rPr>
              <w:t xml:space="preserve">D. The training, tools, and resources provided to managers so they can have confident, accurate, and empathetic conversations with employees about pay — including how grades and ranges work, how performance influences pay, what the organization can and cannot discuss, and how to handle specific situations like promotion conversations, offers, and retention discussions</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D</w:t>
            </w:r>
            <w:r>
              <w:rPr>
                <w:rFonts w:ascii="Arial" w:cs="Arial" w:eastAsia="Arial" w:hAnsi="Arial"/>
                <w:color w:val="444444"/>
                <w:sz w:val="18"/>
                <w:szCs w:val="18"/>
              </w:rPr>
              <w:t xml:space="preserve">    |    Managers are the primary channel through which pay transparency is experienced by employees. If managers cannot explain the grade structure, cannot discuss how performance influences pay, or become defensive or evasive when asked about pay — all the investment in pay design is undermined. Manager enablement converts good systems into good employee experiences.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77</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'total reward transparency' as a strategic organizational posture?</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An organizational commitment to openly communicating — to a defined degree — how reward decisions are made, what governs them, how performance and market data are used, and how employees can understand and influence their own reward outcomes, going beyond legal minimums to build genuine trust and engagement through openness about the reward system</w:t>
            </w:r>
          </w:p>
          <w:p>
            <w:pPr>
              <w:spacing w:after="40" w:before="40"/>
            </w:pPr>
            <w:r>
              <w:rPr>
                <w:rFonts w:ascii="Arial" w:cs="Arial" w:eastAsia="Arial" w:hAnsi="Arial"/>
                <w:color w:val="333333"/>
                <w:sz w:val="20"/>
                <w:szCs w:val="20"/>
              </w:rPr>
              <w:t xml:space="preserve">B. A legal requirement that all elements of employee compensation are visible to every other employee in the organization</w:t>
            </w:r>
          </w:p>
          <w:p>
            <w:pPr>
              <w:spacing w:after="40" w:before="40"/>
            </w:pPr>
            <w:r>
              <w:rPr>
                <w:rFonts w:ascii="Arial" w:cs="Arial" w:eastAsia="Arial" w:hAnsi="Arial"/>
                <w:color w:val="333333"/>
                <w:sz w:val="20"/>
                <w:szCs w:val="20"/>
              </w:rPr>
              <w:t xml:space="preserve">C. A practice restricted to public sector organizations where all pay decisions must be subject to public scrutiny</w:t>
            </w:r>
          </w:p>
          <w:p>
            <w:pPr>
              <w:spacing w:after="40" w:before="40"/>
            </w:pPr>
            <w:r>
              <w:rPr>
                <w:rFonts w:ascii="Arial" w:cs="Arial" w:eastAsia="Arial" w:hAnsi="Arial"/>
                <w:color w:val="333333"/>
                <w:sz w:val="20"/>
                <w:szCs w:val="20"/>
              </w:rPr>
              <w:t xml:space="preserve">D. Publishing a complete list of every employee's salary on the organization's public website</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A</w:t>
            </w:r>
            <w:r>
              <w:rPr>
                <w:rFonts w:ascii="Arial" w:cs="Arial" w:eastAsia="Arial" w:hAnsi="Arial"/>
                <w:color w:val="444444"/>
                <w:sz w:val="18"/>
                <w:szCs w:val="18"/>
              </w:rPr>
              <w:t xml:space="preserve">    |    Total reward transparency is a posture, not a policy — it reflects an organizational decision about how open to be about reward, and why. Organizations that adopt greater transparency typically see improvements in perceived fairness, reduced pay-related anxiety, and stronger employer brand — but only when the underlying systems can withstand scrutiny.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78</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does 'pay data governance' mean in the context of GDPR and data privacy regulations?</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requirement to publish all salary data in the organization's annual report as part of financial disclosure obligations</w:t>
            </w:r>
          </w:p>
          <w:p>
            <w:pPr>
              <w:spacing w:after="40" w:before="40"/>
            </w:pPr>
            <w:r>
              <w:rPr>
                <w:rFonts w:ascii="Arial" w:cs="Arial" w:eastAsia="Arial" w:hAnsi="Arial"/>
                <w:color w:val="333333"/>
                <w:sz w:val="20"/>
                <w:szCs w:val="20"/>
              </w:rPr>
              <w:t xml:space="preserve">B. The policies, processes, and controls governing who can access salary and reward data, for what purposes, under what conditions, and for how long — ensuring that sensitive personal information about employee compensation is handled lawfully, securely, and with appropriate controls, particularly relevant given that pay data is typically classified as personal data subject to data protection legislation</w:t>
            </w:r>
          </w:p>
          <w:p>
            <w:pPr>
              <w:spacing w:after="40" w:before="40"/>
            </w:pPr>
            <w:r>
              <w:rPr>
                <w:rFonts w:ascii="Arial" w:cs="Arial" w:eastAsia="Arial" w:hAnsi="Arial"/>
                <w:color w:val="333333"/>
                <w:sz w:val="20"/>
                <w:szCs w:val="20"/>
              </w:rPr>
              <w:t xml:space="preserve">C. A government database storing all employee pay information for tax assessment purposes</w:t>
            </w:r>
          </w:p>
          <w:p>
            <w:pPr>
              <w:spacing w:after="40" w:before="40"/>
            </w:pPr>
            <w:r>
              <w:rPr>
                <w:rFonts w:ascii="Arial" w:cs="Arial" w:eastAsia="Arial" w:hAnsi="Arial"/>
                <w:color w:val="333333"/>
                <w:sz w:val="20"/>
                <w:szCs w:val="20"/>
              </w:rPr>
              <w:t xml:space="preserve">D. An automated system that prevents pay decisions from being made without HR approval</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Pay data is sensitive personal data and typically some of the most sensitive HR data an organization holds. GDPR and equivalent regulations impose strict requirements around data minimization, access controls, retention periods, and third-party sharing. Compensation professionals must operate within these frameworks when conducting analysis, sharing data with consultants, and maintaining records.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79</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the 'fairness perception gap' in pay and how can communication address it?</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difference between the highest and lowest salary in the organization</w:t>
            </w:r>
          </w:p>
          <w:p>
            <w:pPr>
              <w:spacing w:after="40" w:before="40"/>
            </w:pPr>
            <w:r>
              <w:rPr>
                <w:rFonts w:ascii="Arial" w:cs="Arial" w:eastAsia="Arial" w:hAnsi="Arial"/>
                <w:color w:val="333333"/>
                <w:sz w:val="20"/>
                <w:szCs w:val="20"/>
              </w:rPr>
              <w:t xml:space="preserve">B. The gap between what employees believe they should be paid and what market data suggests is appropriate</w:t>
            </w:r>
          </w:p>
          <w:p>
            <w:pPr>
              <w:spacing w:after="40" w:before="40"/>
            </w:pPr>
            <w:r>
              <w:rPr>
                <w:rFonts w:ascii="Arial" w:cs="Arial" w:eastAsia="Arial" w:hAnsi="Arial"/>
                <w:color w:val="333333"/>
                <w:sz w:val="20"/>
                <w:szCs w:val="20"/>
              </w:rPr>
              <w:t xml:space="preserve">C. The difference between how fair an organization's pay system actually is (as measured by objective equity metrics) and how fair employees perceive it to be — which research shows can be significant. Communication that explains the logic, consistency, and evidence behind pay decisions can materially close this gap even without changing pay levels themselves</w:t>
            </w:r>
          </w:p>
          <w:p>
            <w:pPr>
              <w:spacing w:after="40" w:before="40"/>
            </w:pPr>
            <w:r>
              <w:rPr>
                <w:rFonts w:ascii="Arial" w:cs="Arial" w:eastAsia="Arial" w:hAnsi="Arial"/>
                <w:color w:val="333333"/>
                <w:sz w:val="20"/>
                <w:szCs w:val="20"/>
              </w:rPr>
              <w:t xml:space="preserve">D. The gap between what HR believes about pay fairness and what the CEO believes</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C</w:t>
            </w:r>
            <w:r>
              <w:rPr>
                <w:rFonts w:ascii="Arial" w:cs="Arial" w:eastAsia="Arial" w:hAnsi="Arial"/>
                <w:color w:val="444444"/>
                <w:sz w:val="18"/>
                <w:szCs w:val="18"/>
              </w:rPr>
              <w:t xml:space="preserve">    |    Research consistently shows that perceived pay fairness is a stronger driver of engagement and retention than actual pay level — up to a point. Employees who understand how pay decisions are made, trust the process, and feel the system is applied consistently report higher satisfaction with pay even when their absolute level is unchanged.</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80</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a 'pay equity external audit' and when might an organization commission one?</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government inspection of an organization's payroll records to check for minimum wage compliance</w:t>
            </w:r>
          </w:p>
          <w:p>
            <w:pPr>
              <w:spacing w:after="40" w:before="40"/>
            </w:pPr>
            <w:r>
              <w:rPr>
                <w:rFonts w:ascii="Arial" w:cs="Arial" w:eastAsia="Arial" w:hAnsi="Arial"/>
                <w:color w:val="333333"/>
                <w:sz w:val="20"/>
                <w:szCs w:val="20"/>
              </w:rPr>
              <w:t xml:space="preserve">B. An audit conducted by external consultants to identify opportunities to reduce total compensation costs</w:t>
            </w:r>
          </w:p>
          <w:p>
            <w:pPr>
              <w:spacing w:after="40" w:before="40"/>
            </w:pPr>
            <w:r>
              <w:rPr>
                <w:rFonts w:ascii="Arial" w:cs="Arial" w:eastAsia="Arial" w:hAnsi="Arial"/>
                <w:color w:val="333333"/>
                <w:sz w:val="20"/>
                <w:szCs w:val="20"/>
              </w:rPr>
              <w:t xml:space="preserve">C. A review conducted by the organization's internal audit function to assess HR process compliance</w:t>
            </w:r>
          </w:p>
          <w:p>
            <w:pPr>
              <w:spacing w:after="40" w:before="40"/>
            </w:pPr>
            <w:r>
              <w:rPr>
                <w:rFonts w:ascii="Arial" w:cs="Arial" w:eastAsia="Arial" w:hAnsi="Arial"/>
                <w:color w:val="333333"/>
                <w:sz w:val="20"/>
                <w:szCs w:val="20"/>
              </w:rPr>
              <w:t xml:space="preserve">D. An independent assessment of an organization's pay equity position — typically commissioned when the organization wishes to validate its own internal analysis, build credibility with external stakeholders (investors, media, regulators), provide assurance to employees, or demonstrate progress against publicly stated equity commitments in a way that carries more weight than self-reported findings</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D</w:t>
            </w:r>
            <w:r>
              <w:rPr>
                <w:rFonts w:ascii="Arial" w:cs="Arial" w:eastAsia="Arial" w:hAnsi="Arial"/>
                <w:color w:val="444444"/>
                <w:sz w:val="18"/>
                <w:szCs w:val="18"/>
              </w:rPr>
              <w:t xml:space="preserve">    |    External pay equity audits are increasingly commissioned as part of ESG reporting and stakeholder accountability. An independent finding that gaps have been reduced, that methodology is robust, or that governance controls are effective carries significantly more credibility than internal reporting — particularly with sophisticated investors and institutional stakeholders.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81</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the difference between communicating 'process transparency' and 'outcome transparency' in pay?</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Process transparency means explaining how pay decisions are made — the methodology, criteria, data sources, and governance used. Outcome transparency means disclosing the actual pay results — individual salaries, grade ranges, or aggregate gap data. Organizations can offer high process transparency while limiting outcome transparency, which is often the most sustainable balance between openness and confidentiality</w:t>
            </w:r>
          </w:p>
          <w:p>
            <w:pPr>
              <w:spacing w:after="40" w:before="40"/>
            </w:pPr>
            <w:r>
              <w:rPr>
                <w:rFonts w:ascii="Arial" w:cs="Arial" w:eastAsia="Arial" w:hAnsi="Arial"/>
                <w:color w:val="333333"/>
                <w:sz w:val="20"/>
                <w:szCs w:val="20"/>
              </w:rPr>
              <w:t xml:space="preserve">B. Process transparency applies to how bonuses are calculated; outcome transparency applies to base salary decisions</w:t>
            </w:r>
          </w:p>
          <w:p>
            <w:pPr>
              <w:spacing w:after="40" w:before="40"/>
            </w:pPr>
            <w:r>
              <w:rPr>
                <w:rFonts w:ascii="Arial" w:cs="Arial" w:eastAsia="Arial" w:hAnsi="Arial"/>
                <w:color w:val="333333"/>
                <w:sz w:val="20"/>
                <w:szCs w:val="20"/>
              </w:rPr>
              <w:t xml:space="preserve">C. Outcome transparency is legally required in all jurisdictions; process transparency is entirely voluntary</w:t>
            </w:r>
          </w:p>
          <w:p>
            <w:pPr>
              <w:spacing w:after="40" w:before="40"/>
            </w:pPr>
            <w:r>
              <w:rPr>
                <w:rFonts w:ascii="Arial" w:cs="Arial" w:eastAsia="Arial" w:hAnsi="Arial"/>
                <w:color w:val="333333"/>
                <w:sz w:val="20"/>
                <w:szCs w:val="20"/>
              </w:rPr>
              <w:t xml:space="preserve">D. They are identical concepts that describe the same organizational commitment to pay openness</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A</w:t>
            </w:r>
            <w:r>
              <w:rPr>
                <w:rFonts w:ascii="Arial" w:cs="Arial" w:eastAsia="Arial" w:hAnsi="Arial"/>
                <w:color w:val="444444"/>
                <w:sz w:val="18"/>
                <w:szCs w:val="18"/>
              </w:rPr>
              <w:t xml:space="preserve">    |    This distinction enables organizations to be genuinely transparent about how pay works — earning trust — without disclosing every individual's salary, which can create unhelpful comparisons and undermine confidentiality. Most employees, when asked, want to understand how the system works more than they want to know everyone else's exact number.</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82</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a 'pay-related FAQ document' for employees and when should it be used?</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legal document that employees must sign confirming they understand and accept their pay level</w:t>
            </w:r>
          </w:p>
          <w:p>
            <w:pPr>
              <w:spacing w:after="40" w:before="40"/>
            </w:pPr>
            <w:r>
              <w:rPr>
                <w:rFonts w:ascii="Arial" w:cs="Arial" w:eastAsia="Arial" w:hAnsi="Arial"/>
                <w:color w:val="333333"/>
                <w:sz w:val="20"/>
                <w:szCs w:val="20"/>
              </w:rPr>
              <w:t xml:space="preserve">B. A clear, jargon-free document that anticipates and answers the most common employee questions about pay — how grades are assigned, how merit increases work, what bonus eligibility requires, how market data is used, what to do if they have a pay concern — used during onboarding, performance review cycles, and as an always-available resource to reduce unnecessary HR contacts and increase pay system understanding</w:t>
            </w:r>
          </w:p>
          <w:p>
            <w:pPr>
              <w:spacing w:after="40" w:before="40"/>
            </w:pPr>
            <w:r>
              <w:rPr>
                <w:rFonts w:ascii="Arial" w:cs="Arial" w:eastAsia="Arial" w:hAnsi="Arial"/>
                <w:color w:val="333333"/>
                <w:sz w:val="20"/>
                <w:szCs w:val="20"/>
              </w:rPr>
              <w:t xml:space="preserve">C. A confidential document shared only with managers to help them handle pay questions in performance reviews</w:t>
            </w:r>
          </w:p>
          <w:p>
            <w:pPr>
              <w:spacing w:after="40" w:before="40"/>
            </w:pPr>
            <w:r>
              <w:rPr>
                <w:rFonts w:ascii="Arial" w:cs="Arial" w:eastAsia="Arial" w:hAnsi="Arial"/>
                <w:color w:val="333333"/>
                <w:sz w:val="20"/>
                <w:szCs w:val="20"/>
              </w:rPr>
              <w:t xml:space="preserve">D. An annual regulatory submission documenting all pay-related employee complaints received during the year</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B</w:t>
            </w:r>
            <w:r>
              <w:rPr>
                <w:rFonts w:ascii="Arial" w:cs="Arial" w:eastAsia="Arial" w:hAnsi="Arial"/>
                <w:color w:val="444444"/>
                <w:sz w:val="18"/>
                <w:szCs w:val="18"/>
              </w:rPr>
              <w:t xml:space="preserve">    |    A well-designed pay FAQ document is a high-impact, low-cost communication tool. It reduces the volume of repetitive HR queries, ensures employees get consistent and accurate answers, and demonstrates organizational respect for employees' desire to understand how their pay works. It should be written in plain language, updated after each review cycle, and easily accessible.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2E7D8C"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83</w:t>
            </w:r>
          </w:p>
        </w:tc>
        <w:tc>
          <w:tcPr>
            <w:tcW w:type="dxa" w:w="8720"/>
            <w:tcBorders>
              <w:top w:val="single" w:color="E5E5E5" w:sz="4"/>
              <w:left w:val="none" w:color="FFFFFF" w:sz="0"/>
              <w:bottom w:val="none" w:color="FFFFFF" w:sz="0"/>
              <w:right w:val="none" w:color="FFFFFF" w:sz="0"/>
            </w:tcBorders>
            <w:shd w:fill="E0F0F4" w:val="clear"/>
            <w:tcMar>
              <w:top w:type="dxa" w:w="120"/>
              <w:left w:type="dxa" w:w="160"/>
              <w:bottom w:type="dxa" w:w="80"/>
              <w:right w:type="dxa" w:w="120"/>
            </w:tcMar>
          </w:tcPr>
          <w:p>
            <w:r>
              <w:rPr>
                <w:rFonts w:ascii="Arial" w:cs="Arial" w:eastAsia="Arial" w:hAnsi="Arial"/>
                <w:b/>
                <w:bCs/>
                <w:color w:val="1A1A1A"/>
                <w:sz w:val="22"/>
                <w:szCs w:val="22"/>
              </w:rPr>
              <w:t xml:space="preserve">What is an 'employee pay journey map' and how does it support the Total Rewards experience?</w:t>
            </w:r>
          </w:p>
        </w:tc>
      </w:tr>
      <w:tr>
        <w:tc>
          <w:tcPr>
            <w:tcW w:type="dxa" w:w="640"/>
            <w:tcBorders>
              <w:top w:val="none" w:color="FFFFFF" w:sz="0"/>
              <w:left w:val="none" w:color="FFFFFF" w:sz="0"/>
              <w:bottom w:val="none" w:color="FFFFFF" w:sz="0"/>
              <w:right w:val="none" w:color="FFFFFF" w:sz="0"/>
            </w:tcBorders>
            <w:shd w:fill="2E7D8C" w:val="clear"/>
          </w:tcPr>
          <w:p>
            <w:r>
              <w:t xml:space="preserve"/>
            </w:r>
          </w:p>
        </w:tc>
        <w:tc>
          <w:tcPr>
            <w:tcW w:type="dxa" w:w="8720"/>
            <w:tcBorders>
              <w:top w:val="none" w:color="FFFFFF" w:sz="0"/>
              <w:left w:val="none" w:color="FFFFFF" w:sz="0"/>
              <w:bottom w:val="none" w:color="FFFFFF" w:sz="0"/>
              <w:right w:val="none" w:color="FFFFFF" w:sz="0"/>
            </w:tcBorders>
            <w:shd w:fill="E0F0F4"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document plotting the predicted career trajectory of high-potential employees alongside expected salary milestones</w:t>
            </w:r>
          </w:p>
          <w:p>
            <w:pPr>
              <w:spacing w:after="40" w:before="40"/>
            </w:pPr>
            <w:r>
              <w:rPr>
                <w:rFonts w:ascii="Arial" w:cs="Arial" w:eastAsia="Arial" w:hAnsi="Arial"/>
                <w:color w:val="333333"/>
                <w:sz w:val="20"/>
                <w:szCs w:val="20"/>
              </w:rPr>
              <w:t xml:space="preserve">B. A payroll system report tracking every salary change made for each employee throughout their tenure</w:t>
            </w:r>
          </w:p>
          <w:p>
            <w:pPr>
              <w:spacing w:after="40" w:before="40"/>
            </w:pPr>
            <w:r>
              <w:rPr>
                <w:rFonts w:ascii="Arial" w:cs="Arial" w:eastAsia="Arial" w:hAnsi="Arial"/>
                <w:color w:val="333333"/>
                <w:sz w:val="20"/>
                <w:szCs w:val="20"/>
              </w:rPr>
              <w:t xml:space="preserve">C. A framework that maps all the moments in the employee lifecycle when pay and reward information is experienced — from offer letter, through onboarding, annual review, promotion, enrollment, and total rewards statement — identifying opportunities to improve communication clarity, manager preparedness, and employee understanding at each touchpoint</w:t>
            </w:r>
          </w:p>
          <w:p>
            <w:pPr>
              <w:spacing w:after="40" w:before="40"/>
            </w:pPr>
            <w:r>
              <w:rPr>
                <w:rFonts w:ascii="Arial" w:cs="Arial" w:eastAsia="Arial" w:hAnsi="Arial"/>
                <w:color w:val="333333"/>
                <w:sz w:val="20"/>
                <w:szCs w:val="20"/>
              </w:rPr>
              <w:t xml:space="preserve">D. A regulatory compliance document tracking all pay-related decisions for potential audit purposes</w:t>
            </w:r>
          </w:p>
        </w:tc>
      </w:tr>
      <w:tr>
        <w:tc>
          <w:tcPr>
            <w:tcW w:type="dxa" w:w="640"/>
            <w:tcBorders>
              <w:top w:val="none" w:color="FFFFFF" w:sz="0"/>
              <w:left w:val="none" w:color="FFFFFF" w:sz="0"/>
              <w:bottom w:val="none" w:color="FFFFFF" w:sz="0"/>
              <w:right w:val="none" w:color="FFFFFF" w:sz="0"/>
            </w:tcBorders>
            <w:shd w:fill="2E7D8C"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0F0F4" w:val="clear"/>
            <w:tcMar>
              <w:top w:type="dxa" w:w="80"/>
              <w:left w:type="dxa" w:w="160"/>
              <w:bottom w:type="dxa" w:w="100"/>
              <w:right w:type="dxa" w:w="120"/>
            </w:tcMar>
          </w:tcPr>
          <w:p>
            <w:r>
              <w:rPr>
                <w:rFonts w:ascii="Arial" w:cs="Arial" w:eastAsia="Arial" w:hAnsi="Arial"/>
                <w:b/>
                <w:bCs/>
                <w:color w:val="2E7D8C"/>
                <w:sz w:val="20"/>
                <w:szCs w:val="20"/>
              </w:rPr>
              <w:t xml:space="preserve">Answer: C</w:t>
            </w:r>
            <w:r>
              <w:rPr>
                <w:rFonts w:ascii="Arial" w:cs="Arial" w:eastAsia="Arial" w:hAnsi="Arial"/>
                <w:color w:val="444444"/>
                <w:sz w:val="18"/>
                <w:szCs w:val="18"/>
              </w:rPr>
              <w:t xml:space="preserve">    |    A pay journey map takes a design-thinking approach to the employee reward experience. By mapping every touchpoint — and assessing whether each one is a positive, neutral, or negative experience — HR can identify where communication gaps, inconsistencies, or confusing processes are creating unnecessary friction and anxiety around pay.</w:t>
            </w:r>
          </w:p>
        </w:tc>
      </w:tr>
    </w:tbl>
    <w:p>
      <w:pPr>
        <w:spacing w:after="200" w:before="0"/>
      </w:pPr>
      <w:r>
        <w:t xml:space="preserve"/>
      </w:r>
    </w:p>
    <w:p>
      <w:r>
        <w:br w:type="page"/>
      </w:r>
    </w:p>
    <w:p>
      <w:pPr>
        <w:shd w:fill="B84B4B" w:val="clear"/>
        <w:spacing w:after="0" w:before="480"/>
      </w:pPr>
      <w:r>
        <w:rPr>
          <w:rFonts w:ascii="Arial" w:cs="Arial" w:eastAsia="Arial" w:hAnsi="Arial"/>
          <w:b/>
          <w:bCs/>
          <w:color w:val="FFFFFF"/>
          <w:sz w:val="28"/>
          <w:szCs w:val="28"/>
        </w:rPr>
        <w:t xml:space="preserve">  Executive Compensation &amp; Global Rewards  </w:t>
      </w:r>
    </w:p>
    <w:p>
      <w:pPr>
        <w:shd w:fill="B84B4B" w:val="clear"/>
        <w:spacing w:after="240" w:before="0"/>
      </w:pPr>
      <w:r>
        <w:rPr>
          <w:rFonts w:ascii="Arial" w:cs="Arial" w:eastAsia="Arial" w:hAnsi="Arial"/>
          <w:color w:val="FFFFFF"/>
          <w:sz w:val="18"/>
          <w:szCs w:val="18"/>
        </w:rPr>
        <w:t xml:space="preserve">  Questions Q84 – Q93</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84</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the difference between 'malus' and 'clawback' provisions in executive incentive plans?</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Malus applies to cash bonuses; clawback applies only to equity awards</w:t>
            </w:r>
          </w:p>
          <w:p>
            <w:pPr>
              <w:spacing w:after="40" w:before="40"/>
            </w:pPr>
            <w:r>
              <w:rPr>
                <w:rFonts w:ascii="Arial" w:cs="Arial" w:eastAsia="Arial" w:hAnsi="Arial"/>
                <w:color w:val="333333"/>
                <w:sz w:val="20"/>
                <w:szCs w:val="20"/>
              </w:rPr>
              <w:t xml:space="preserve">B. Clawback is a legal requirement in all industries; malus is voluntary</w:t>
            </w:r>
          </w:p>
          <w:p>
            <w:pPr>
              <w:spacing w:after="40" w:before="40"/>
            </w:pPr>
            <w:r>
              <w:rPr>
                <w:rFonts w:ascii="Arial" w:cs="Arial" w:eastAsia="Arial" w:hAnsi="Arial"/>
                <w:color w:val="333333"/>
                <w:sz w:val="20"/>
                <w:szCs w:val="20"/>
              </w:rPr>
              <w:t xml:space="preserve">C. They are identical concepts with different names used in different countries</w:t>
            </w:r>
          </w:p>
          <w:p>
            <w:pPr>
              <w:spacing w:after="40" w:before="40"/>
            </w:pPr>
            <w:r>
              <w:rPr>
                <w:rFonts w:ascii="Arial" w:cs="Arial" w:eastAsia="Arial" w:hAnsi="Arial"/>
                <w:color w:val="333333"/>
                <w:sz w:val="20"/>
                <w:szCs w:val="20"/>
              </w:rPr>
              <w:t xml:space="preserve">D. Malus is the power to reduce or eliminate an unvested or deferred award before it is paid — applied while the award is still in the company's hands. Clawback is the power to recover an award that has already been paid to the executive — requiring the individual to return money already received. Malus is easier to apply; clawback requires legal recovery mechanisms</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D</w:t>
            </w:r>
            <w:r>
              <w:rPr>
                <w:rFonts w:ascii="Arial" w:cs="Arial" w:eastAsia="Arial" w:hAnsi="Arial"/>
                <w:color w:val="444444"/>
                <w:sz w:val="18"/>
                <w:szCs w:val="18"/>
              </w:rPr>
              <w:t xml:space="preserve">    |    This distinction matters practically. Malus can be exercised before payout — relatively straightforward to administer. Clawback requires recovering money already in an individual's personal accounts — legally complex, practically challenging, and reputationally delicate. Both serve accountability purposes but require different governance mechanisms.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85</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an 'executive pension arrangement' and how has its design evolved?</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Historically, senior executives often received defined benefit pensions or supplementary pension arrangements significantly more generous than those available to the broader workforce. Governance scrutiny and reputational concerns have driven a trend toward aligning executive pension contributions with the rate available to the wider employee population — a requirement now codified in UK Corporate Governance Code guidance and expected by institutional investors</w:t>
            </w:r>
          </w:p>
          <w:p>
            <w:pPr>
              <w:spacing w:after="40" w:before="40"/>
            </w:pPr>
            <w:r>
              <w:rPr>
                <w:rFonts w:ascii="Arial" w:cs="Arial" w:eastAsia="Arial" w:hAnsi="Arial"/>
                <w:color w:val="333333"/>
                <w:sz w:val="20"/>
                <w:szCs w:val="20"/>
              </w:rPr>
              <w:t xml:space="preserve">B. A mandatory government scheme requiring executives to contribute a minimum of 30% of salary to pension</w:t>
            </w:r>
          </w:p>
          <w:p>
            <w:pPr>
              <w:spacing w:after="40" w:before="40"/>
            </w:pPr>
            <w:r>
              <w:rPr>
                <w:rFonts w:ascii="Arial" w:cs="Arial" w:eastAsia="Arial" w:hAnsi="Arial"/>
                <w:color w:val="333333"/>
                <w:sz w:val="20"/>
                <w:szCs w:val="20"/>
              </w:rPr>
              <w:t xml:space="preserve">C. An arrangement where executives can access their pension earlier than normal retirement age as a benefit of seniority</w:t>
            </w:r>
          </w:p>
          <w:p>
            <w:pPr>
              <w:spacing w:after="40" w:before="40"/>
            </w:pPr>
            <w:r>
              <w:rPr>
                <w:rFonts w:ascii="Arial" w:cs="Arial" w:eastAsia="Arial" w:hAnsi="Arial"/>
                <w:color w:val="333333"/>
                <w:sz w:val="20"/>
                <w:szCs w:val="20"/>
              </w:rPr>
              <w:t xml:space="preserve">D. A pension plan available exclusively to executives that invests only in the company's own shares</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A</w:t>
            </w:r>
            <w:r>
              <w:rPr>
                <w:rFonts w:ascii="Arial" w:cs="Arial" w:eastAsia="Arial" w:hAnsi="Arial"/>
                <w:color w:val="444444"/>
                <w:sz w:val="18"/>
                <w:szCs w:val="18"/>
              </w:rPr>
              <w:t xml:space="preserve">    |    Executive pension alignment has become a governance flashpoint. Large pension supplements — where executives receive 25–30% employer contributions while ordinary employees receive 5–8% — have been repeatedly criticized by investors and proxy advisors. The trend toward alignment reflects the principle that executives should not be treated significantly differently in pension design than the broader workforce.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86</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a 'performance share plan' (PSP) and how does it differ from a restricted share unit (RSU) plan?</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Both PSPs and RSUs vest on a fixed date after a set number of years regardless of any conditions</w:t>
            </w:r>
          </w:p>
          <w:p>
            <w:pPr>
              <w:spacing w:after="40" w:before="40"/>
            </w:pPr>
            <w:r>
              <w:rPr>
                <w:rFonts w:ascii="Arial" w:cs="Arial" w:eastAsia="Arial" w:hAnsi="Arial"/>
                <w:color w:val="333333"/>
                <w:sz w:val="20"/>
                <w:szCs w:val="20"/>
              </w:rPr>
              <w:t xml:space="preserve">B. A performance share plan awards shares that vest only if defined performance conditions are met over a multi-year period — so the number of shares received (if any) depends on outcomes. A restricted share unit plan awards shares that vest based primarily on time — continued employment over a vesting period — rather than performance conditions, though both create retention incentive</w:t>
            </w:r>
          </w:p>
          <w:p>
            <w:pPr>
              <w:spacing w:after="40" w:before="40"/>
            </w:pPr>
            <w:r>
              <w:rPr>
                <w:rFonts w:ascii="Arial" w:cs="Arial" w:eastAsia="Arial" w:hAnsi="Arial"/>
                <w:color w:val="333333"/>
                <w:sz w:val="20"/>
                <w:szCs w:val="20"/>
              </w:rPr>
              <w:t xml:space="preserve">C. PSPs are paid in cash equivalents; RSUs are always settled in actual company shares</w:t>
            </w:r>
          </w:p>
          <w:p>
            <w:pPr>
              <w:spacing w:after="40" w:before="40"/>
            </w:pPr>
            <w:r>
              <w:rPr>
                <w:rFonts w:ascii="Arial" w:cs="Arial" w:eastAsia="Arial" w:hAnsi="Arial"/>
                <w:color w:val="333333"/>
                <w:sz w:val="20"/>
                <w:szCs w:val="20"/>
              </w:rPr>
              <w:t xml:space="preserve">D. RSPs are available to all employees; performance share plans are restricted to board-level executives only</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This distinction drives different behavioral incentives. PSPs create strong pay-for-performance linkage — the executive may receive nothing if targets are missed. RSUs create retention incentive regardless of performance (though some RSU plans add a performance modifier). Most listed company executives receive a blend, with PSPs for long-term strategic alignment and RSUs for retention.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87</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'peer group' selection in executive pay benchmarking and why is it contested?</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process of selecting the most experienced board members to determine executive pay levels</w:t>
            </w:r>
          </w:p>
          <w:p>
            <w:pPr>
              <w:spacing w:after="40" w:before="40"/>
            </w:pPr>
            <w:r>
              <w:rPr>
                <w:rFonts w:ascii="Arial" w:cs="Arial" w:eastAsia="Arial" w:hAnsi="Arial"/>
                <w:color w:val="333333"/>
                <w:sz w:val="20"/>
                <w:szCs w:val="20"/>
              </w:rPr>
              <w:t xml:space="preserve">B. An internal comparison of all executive pay levels within the same organization to ensure consistency</w:t>
            </w:r>
          </w:p>
          <w:p>
            <w:pPr>
              <w:spacing w:after="40" w:before="40"/>
            </w:pPr>
            <w:r>
              <w:rPr>
                <w:rFonts w:ascii="Arial" w:cs="Arial" w:eastAsia="Arial" w:hAnsi="Arial"/>
                <w:color w:val="333333"/>
                <w:sz w:val="20"/>
                <w:szCs w:val="20"/>
              </w:rPr>
              <w:t xml:space="preserve">C. The selection of a comparator group of companies against which an organization benchmarks executive compensation — a decision that significantly affects conclusions, since a larger or more profitable peer group will produce higher market data, potentially inflating executive pay. Peer group selection is subject to increasing governance scrutiny from investors and proxy advisors who question whether it is used to justify rather than inform pay decisions</w:t>
            </w:r>
          </w:p>
          <w:p>
            <w:pPr>
              <w:spacing w:after="40" w:before="40"/>
            </w:pPr>
            <w:r>
              <w:rPr>
                <w:rFonts w:ascii="Arial" w:cs="Arial" w:eastAsia="Arial" w:hAnsi="Arial"/>
                <w:color w:val="333333"/>
                <w:sz w:val="20"/>
                <w:szCs w:val="20"/>
              </w:rPr>
              <w:t xml:space="preserve">D. A process conducted by executive search firms to identify market candidates for senior roles</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C</w:t>
            </w:r>
            <w:r>
              <w:rPr>
                <w:rFonts w:ascii="Arial" w:cs="Arial" w:eastAsia="Arial" w:hAnsi="Arial"/>
                <w:color w:val="444444"/>
                <w:sz w:val="18"/>
                <w:szCs w:val="18"/>
              </w:rPr>
              <w:t xml:space="preserve">    |    Peer group selection is where executive pay benchmarking can become self-serving. If companies consistently select peers that are larger, more profitable, or in higher-paying sectors, the benchmark will exceed what is appropriate for their own size and performance profile. Good governance requires transparent, logical peer selection criteria — typically size, sector, and geographic footprint.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88</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are 'TSR performance conditions' in executive long-term incentive plans?</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performance condition measuring the executive's personal target-setting and review process</w:t>
            </w:r>
          </w:p>
          <w:p>
            <w:pPr>
              <w:spacing w:after="40" w:before="40"/>
            </w:pPr>
            <w:r>
              <w:rPr>
                <w:rFonts w:ascii="Arial" w:cs="Arial" w:eastAsia="Arial" w:hAnsi="Arial"/>
                <w:color w:val="333333"/>
                <w:sz w:val="20"/>
                <w:szCs w:val="20"/>
              </w:rPr>
              <w:t xml:space="preserve">B. A condition requiring executives to hold their shares for at least three years after vesting before selling</w:t>
            </w:r>
          </w:p>
          <w:p>
            <w:pPr>
              <w:spacing w:after="40" w:before="40"/>
            </w:pPr>
            <w:r>
              <w:rPr>
                <w:rFonts w:ascii="Arial" w:cs="Arial" w:eastAsia="Arial" w:hAnsi="Arial"/>
                <w:color w:val="333333"/>
                <w:sz w:val="20"/>
                <w:szCs w:val="20"/>
              </w:rPr>
              <w:t xml:space="preserve">C. A condition that measures the revenue growth achieved during the performance period as a primary incentive metric</w:t>
            </w:r>
          </w:p>
          <w:p>
            <w:pPr>
              <w:spacing w:after="40" w:before="40"/>
            </w:pPr>
            <w:r>
              <w:rPr>
                <w:rFonts w:ascii="Arial" w:cs="Arial" w:eastAsia="Arial" w:hAnsi="Arial"/>
                <w:color w:val="333333"/>
                <w:sz w:val="20"/>
                <w:szCs w:val="20"/>
              </w:rPr>
              <w:t xml:space="preserve">D. Total Shareholder Return conditions, which measure the combination of share price appreciation and dividends paid over the performance period, either in absolute terms or relative to a defined peer group or index — widely used in executive LTI plans to align management reward with the returns delivered to shareholders</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D</w:t>
            </w:r>
            <w:r>
              <w:rPr>
                <w:rFonts w:ascii="Arial" w:cs="Arial" w:eastAsia="Arial" w:hAnsi="Arial"/>
                <w:color w:val="444444"/>
                <w:sz w:val="18"/>
                <w:szCs w:val="18"/>
              </w:rPr>
              <w:t xml:space="preserve">    |    TSR is one of the most common executive incentive performance conditions because it directly aligns management reward with shareholder experience. Relative TSR (measured against peers or an index) is particularly valued by investors because it adjusts for market-wide movements — rewarding outperformance rather than riding a rising tide.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89</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a 'supplemental executive retirement plan' (SERP) in the US context?</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non-qualified deferred compensation arrangement — sitting outside government-regulated retirement plan structures — that provides additional retirement benefits to senior executives, typically to compensate for statutory limits on contributions to qualified plans (such as 401(k) contributions) and to enhance total retirement security beyond what broad-workforce plans allow. SERPs represent significant contingent organizational liabilities</w:t>
            </w:r>
          </w:p>
          <w:p>
            <w:pPr>
              <w:spacing w:after="40" w:before="40"/>
            </w:pPr>
            <w:r>
              <w:rPr>
                <w:rFonts w:ascii="Arial" w:cs="Arial" w:eastAsia="Arial" w:hAnsi="Arial"/>
                <w:color w:val="333333"/>
                <w:sz w:val="20"/>
                <w:szCs w:val="20"/>
              </w:rPr>
              <w:t xml:space="preserve">B. A mandatory government scheme for US executives equivalent to the state pension for ordinary workers</w:t>
            </w:r>
          </w:p>
          <w:p>
            <w:pPr>
              <w:spacing w:after="40" w:before="40"/>
            </w:pPr>
            <w:r>
              <w:rPr>
                <w:rFonts w:ascii="Arial" w:cs="Arial" w:eastAsia="Arial" w:hAnsi="Arial"/>
                <w:color w:val="333333"/>
                <w:sz w:val="20"/>
                <w:szCs w:val="20"/>
              </w:rPr>
              <w:t xml:space="preserve">C. A plan that allows executives to retire earlier than the standard 65 without pension reduction</w:t>
            </w:r>
          </w:p>
          <w:p>
            <w:pPr>
              <w:spacing w:after="40" w:before="40"/>
            </w:pPr>
            <w:r>
              <w:rPr>
                <w:rFonts w:ascii="Arial" w:cs="Arial" w:eastAsia="Arial" w:hAnsi="Arial"/>
                <w:color w:val="333333"/>
                <w:sz w:val="20"/>
                <w:szCs w:val="20"/>
              </w:rPr>
              <w:t xml:space="preserve">D. A supplementary health insurance plan providing executives with coverage above the standard employee medical plan</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A</w:t>
            </w:r>
            <w:r>
              <w:rPr>
                <w:rFonts w:ascii="Arial" w:cs="Arial" w:eastAsia="Arial" w:hAnsi="Arial"/>
                <w:color w:val="444444"/>
                <w:sz w:val="18"/>
                <w:szCs w:val="18"/>
              </w:rPr>
              <w:t xml:space="preserve">    |    SERPs have attracted governance scrutiny because they represent substantial off-balance-sheet liabilities, are not subject to the same regulatory oversight as qualified plans, and represent significant executive pension advantages relative to the workforce. Investors and proxy advisors increasingly question whether SERPs are appropriate given trends toward pension alignment.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90</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'localization' in expatriate compensation strategy?</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requirement that all expatriates learn the language of the host country as a condition of their assignment</w:t>
            </w:r>
          </w:p>
          <w:p>
            <w:pPr>
              <w:spacing w:after="40" w:before="40"/>
            </w:pPr>
            <w:r>
              <w:rPr>
                <w:rFonts w:ascii="Arial" w:cs="Arial" w:eastAsia="Arial" w:hAnsi="Arial"/>
                <w:color w:val="333333"/>
                <w:sz w:val="20"/>
                <w:szCs w:val="20"/>
              </w:rPr>
              <w:t xml:space="preserve">B. The process of transitioning an expatriate from their home-country compensation package to a local host-country package — typically after an extended assignment period — removing expatriate allowances and aligning pay with local market rates and practices, usually accompanied by a transition support period and often triggered after 3–5 years to manage the long-term cost of maintaining expatriate status</w:t>
            </w:r>
          </w:p>
          <w:p>
            <w:pPr>
              <w:spacing w:after="40" w:before="40"/>
            </w:pPr>
            <w:r>
              <w:rPr>
                <w:rFonts w:ascii="Arial" w:cs="Arial" w:eastAsia="Arial" w:hAnsi="Arial"/>
                <w:color w:val="333333"/>
                <w:sz w:val="20"/>
                <w:szCs w:val="20"/>
              </w:rPr>
              <w:t xml:space="preserve">C. A strategy of paying all employees in the local currency of their country of residence regardless of home country</w:t>
            </w:r>
          </w:p>
          <w:p>
            <w:pPr>
              <w:spacing w:after="40" w:before="40"/>
            </w:pPr>
            <w:r>
              <w:rPr>
                <w:rFonts w:ascii="Arial" w:cs="Arial" w:eastAsia="Arial" w:hAnsi="Arial"/>
                <w:color w:val="333333"/>
                <w:sz w:val="20"/>
                <w:szCs w:val="20"/>
              </w:rPr>
              <w:t xml:space="preserve">D. A practice of adapting benefits communications to the local language without changing the benefits themselves</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B</w:t>
            </w:r>
            <w:r>
              <w:rPr>
                <w:rFonts w:ascii="Arial" w:cs="Arial" w:eastAsia="Arial" w:hAnsi="Arial"/>
                <w:color w:val="444444"/>
                <w:sz w:val="18"/>
                <w:szCs w:val="18"/>
              </w:rPr>
              <w:t xml:space="preserve">    |    Localization addresses the sustainability problem of long-term assignments on full expatriate packages — which are expensive and can create significant pay differentials between the assignee and local colleagues doing comparable work. Managed well, localization transitions executives to competitive local packages; managed poorly, it triggers departures as executives reject the reduction in total compensation.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91</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a 'split payroll' arrangement in international employment?</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payroll arrangement where an employee's salary is divided equally between two employers</w:t>
            </w:r>
          </w:p>
          <w:p>
            <w:pPr>
              <w:spacing w:after="40" w:before="40"/>
            </w:pPr>
            <w:r>
              <w:rPr>
                <w:rFonts w:ascii="Arial" w:cs="Arial" w:eastAsia="Arial" w:hAnsi="Arial"/>
                <w:color w:val="333333"/>
                <w:sz w:val="20"/>
                <w:szCs w:val="20"/>
              </w:rPr>
              <w:t xml:space="preserve">B. A system where executive compensation is split between cash and equity in a defined ratio</w:t>
            </w:r>
          </w:p>
          <w:p>
            <w:pPr>
              <w:spacing w:after="40" w:before="40"/>
            </w:pPr>
            <w:r>
              <w:rPr>
                <w:rFonts w:ascii="Arial" w:cs="Arial" w:eastAsia="Arial" w:hAnsi="Arial"/>
                <w:color w:val="333333"/>
                <w:sz w:val="20"/>
                <w:szCs w:val="20"/>
              </w:rPr>
              <w:t xml:space="preserve">C. An international payroll arrangement where an employee's compensation is divided across two or more payrolls in different countries — for example, base salary paid through the home country payroll and a host country allowance paid locally — addressing dual tax obligations, multi-country benefit eligibility, and local compliance requirements for internationally mobile employees</w:t>
            </w:r>
          </w:p>
          <w:p>
            <w:pPr>
              <w:spacing w:after="40" w:before="40"/>
            </w:pPr>
            <w:r>
              <w:rPr>
                <w:rFonts w:ascii="Arial" w:cs="Arial" w:eastAsia="Arial" w:hAnsi="Arial"/>
                <w:color w:val="333333"/>
                <w:sz w:val="20"/>
                <w:szCs w:val="20"/>
              </w:rPr>
              <w:t xml:space="preserve">D. A payroll method where employees are paid weekly rather than monthly to improve cash flow management</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C</w:t>
            </w:r>
            <w:r>
              <w:rPr>
                <w:rFonts w:ascii="Arial" w:cs="Arial" w:eastAsia="Arial" w:hAnsi="Arial"/>
                <w:color w:val="444444"/>
                <w:sz w:val="18"/>
                <w:szCs w:val="18"/>
              </w:rPr>
              <w:t xml:space="preserve">    |    Split payrolls are a common solution for internationally mobile employees who have both home and host country obligations — tax, social security, benefits eligibility. By splitting the payroll, organizations can manage contributions and deductions in each jurisdiction appropriately, ensuring compliance on both sides while meeting the employee's need for income in multiple currencies.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92</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the 'cost of assignment' calculation in expatriate management and why does it matter?</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total cost of the executive search process required to find an international assignment candidate</w:t>
            </w:r>
          </w:p>
          <w:p>
            <w:pPr>
              <w:spacing w:after="40" w:before="40"/>
            </w:pPr>
            <w:r>
              <w:rPr>
                <w:rFonts w:ascii="Arial" w:cs="Arial" w:eastAsia="Arial" w:hAnsi="Arial"/>
                <w:color w:val="333333"/>
                <w:sz w:val="20"/>
                <w:szCs w:val="20"/>
              </w:rPr>
              <w:t xml:space="preserve">B. The cost of training and developing an employee before they go on an international assignment</w:t>
            </w:r>
          </w:p>
          <w:p>
            <w:pPr>
              <w:spacing w:after="40" w:before="40"/>
            </w:pPr>
            <w:r>
              <w:rPr>
                <w:rFonts w:ascii="Arial" w:cs="Arial" w:eastAsia="Arial" w:hAnsi="Arial"/>
                <w:color w:val="333333"/>
                <w:sz w:val="20"/>
                <w:szCs w:val="20"/>
              </w:rPr>
              <w:t xml:space="preserve">C. The average cost of accommodating an expatriate in a serviced apartment in the host city</w:t>
            </w:r>
          </w:p>
          <w:p>
            <w:pPr>
              <w:spacing w:after="40" w:before="40"/>
            </w:pPr>
            <w:r>
              <w:rPr>
                <w:rFonts w:ascii="Arial" w:cs="Arial" w:eastAsia="Arial" w:hAnsi="Arial"/>
                <w:color w:val="333333"/>
                <w:sz w:val="20"/>
                <w:szCs w:val="20"/>
              </w:rPr>
              <w:t xml:space="preserve">D. A comprehensive calculation of the total organizational cost of an international assignment — including the enhanced salary, allowances, tax equalization, relocation costs, housing, school fees, home leave, and HR administration — typically 2–3× the employee's home country total compensation, used to assess whether the business case for the assignment justifies its true cost</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D</w:t>
            </w:r>
            <w:r>
              <w:rPr>
                <w:rFonts w:ascii="Arial" w:cs="Arial" w:eastAsia="Arial" w:hAnsi="Arial"/>
                <w:color w:val="444444"/>
                <w:sz w:val="18"/>
                <w:szCs w:val="18"/>
              </w:rPr>
              <w:t xml:space="preserve">    |    Many organizations are surprised to discover the true cost of expatriate assignments when calculated comprehensively. A $150,000 base salary employee on a full expatriate package may cost the organization $350,000–$450,000 annually. This calculation is essential for informed assignment decisions, realistic budgeting, and identifying where alternative approaches (local hiring, short-term visits) might be more cost-effective.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84B4B"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93</w:t>
            </w:r>
          </w:p>
        </w:tc>
        <w:tc>
          <w:tcPr>
            <w:tcW w:type="dxa" w:w="8720"/>
            <w:tcBorders>
              <w:top w:val="single" w:color="E5E5E5" w:sz="4"/>
              <w:left w:val="none" w:color="FFFFFF" w:sz="0"/>
              <w:bottom w:val="none" w:color="FFFFFF" w:sz="0"/>
              <w:right w:val="none" w:color="FFFFFF" w:sz="0"/>
            </w:tcBorders>
            <w:shd w:fill="FDEAEA" w:val="clear"/>
            <w:tcMar>
              <w:top w:type="dxa" w:w="120"/>
              <w:left w:type="dxa" w:w="160"/>
              <w:bottom w:type="dxa" w:w="80"/>
              <w:right w:type="dxa" w:w="120"/>
            </w:tcMar>
          </w:tcPr>
          <w:p>
            <w:r>
              <w:rPr>
                <w:rFonts w:ascii="Arial" w:cs="Arial" w:eastAsia="Arial" w:hAnsi="Arial"/>
                <w:b/>
                <w:bCs/>
                <w:color w:val="1A1A1A"/>
                <w:sz w:val="22"/>
                <w:szCs w:val="22"/>
              </w:rPr>
              <w:t xml:space="preserve">What is the role of an 'independent remuneration advisor' to a remuneration committee?</w:t>
            </w:r>
          </w:p>
        </w:tc>
      </w:tr>
      <w:tr>
        <w:tc>
          <w:tcPr>
            <w:tcW w:type="dxa" w:w="640"/>
            <w:tcBorders>
              <w:top w:val="none" w:color="FFFFFF" w:sz="0"/>
              <w:left w:val="none" w:color="FFFFFF" w:sz="0"/>
              <w:bottom w:val="none" w:color="FFFFFF" w:sz="0"/>
              <w:right w:val="none" w:color="FFFFFF" w:sz="0"/>
            </w:tcBorders>
            <w:shd w:fill="B84B4B" w:val="clear"/>
          </w:tcPr>
          <w:p>
            <w:r>
              <w:t xml:space="preserve"/>
            </w:r>
          </w:p>
        </w:tc>
        <w:tc>
          <w:tcPr>
            <w:tcW w:type="dxa" w:w="8720"/>
            <w:tcBorders>
              <w:top w:val="none" w:color="FFFFFF" w:sz="0"/>
              <w:left w:val="none" w:color="FFFFFF" w:sz="0"/>
              <w:bottom w:val="none" w:color="FFFFFF" w:sz="0"/>
              <w:right w:val="none" w:color="FFFFFF" w:sz="0"/>
            </w:tcBorders>
            <w:shd w:fill="FDEAEA"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An external consultant appointed to advise the remuneration committee on executive pay design, market positioning, governance best practice, and shareholder expectations — providing independent expertise and market data that is separate from the management team's own views on executive compensation, ensuring the committee has objective input when making decisions about the pay of the people who report to the board</w:t>
            </w:r>
          </w:p>
          <w:p>
            <w:pPr>
              <w:spacing w:after="40" w:before="40"/>
            </w:pPr>
            <w:r>
              <w:rPr>
                <w:rFonts w:ascii="Arial" w:cs="Arial" w:eastAsia="Arial" w:hAnsi="Arial"/>
                <w:color w:val="333333"/>
                <w:sz w:val="20"/>
                <w:szCs w:val="20"/>
              </w:rPr>
              <w:t xml:space="preserve">B. A government-appointed official who approves all executive pay decisions above a defined threshold</w:t>
            </w:r>
          </w:p>
          <w:p>
            <w:pPr>
              <w:spacing w:after="40" w:before="40"/>
            </w:pPr>
            <w:r>
              <w:rPr>
                <w:rFonts w:ascii="Arial" w:cs="Arial" w:eastAsia="Arial" w:hAnsi="Arial"/>
                <w:color w:val="333333"/>
                <w:sz w:val="20"/>
                <w:szCs w:val="20"/>
              </w:rPr>
              <w:t xml:space="preserve">C. An internal HR executive who attends remuneration committee meetings to represent the CEO's interests in pay discussions</w:t>
            </w:r>
          </w:p>
          <w:p>
            <w:pPr>
              <w:spacing w:after="40" w:before="40"/>
            </w:pPr>
            <w:r>
              <w:rPr>
                <w:rFonts w:ascii="Arial" w:cs="Arial" w:eastAsia="Arial" w:hAnsi="Arial"/>
                <w:color w:val="333333"/>
                <w:sz w:val="20"/>
                <w:szCs w:val="20"/>
              </w:rPr>
              <w:t xml:space="preserve">D. A proxy advisor who votes on behalf of institutional shareholders at AGMs on executive pay resolutions</w:t>
            </w:r>
          </w:p>
        </w:tc>
      </w:tr>
      <w:tr>
        <w:tc>
          <w:tcPr>
            <w:tcW w:type="dxa" w:w="640"/>
            <w:tcBorders>
              <w:top w:val="none" w:color="FFFFFF" w:sz="0"/>
              <w:left w:val="none" w:color="FFFFFF" w:sz="0"/>
              <w:bottom w:val="none" w:color="FFFFFF" w:sz="0"/>
              <w:right w:val="none" w:color="FFFFFF" w:sz="0"/>
            </w:tcBorders>
            <w:shd w:fill="B84B4B"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FDEAEA" w:val="clear"/>
            <w:tcMar>
              <w:top w:type="dxa" w:w="80"/>
              <w:left w:type="dxa" w:w="160"/>
              <w:bottom w:type="dxa" w:w="100"/>
              <w:right w:type="dxa" w:w="120"/>
            </w:tcMar>
          </w:tcPr>
          <w:p>
            <w:r>
              <w:rPr>
                <w:rFonts w:ascii="Arial" w:cs="Arial" w:eastAsia="Arial" w:hAnsi="Arial"/>
                <w:b/>
                <w:bCs/>
                <w:color w:val="B84B4B"/>
                <w:sz w:val="20"/>
                <w:szCs w:val="20"/>
              </w:rPr>
              <w:t xml:space="preserve">Answer: A</w:t>
            </w:r>
            <w:r>
              <w:rPr>
                <w:rFonts w:ascii="Arial" w:cs="Arial" w:eastAsia="Arial" w:hAnsi="Arial"/>
                <w:color w:val="444444"/>
                <w:sz w:val="18"/>
                <w:szCs w:val="18"/>
              </w:rPr>
              <w:t xml:space="preserve">    |    Independent remuneration advisors are a key governance feature of listed company remuneration committees. Their independence from management is critical — they should not also be advising the management team on the same matters. Proxy advisors and institutional investors increasingly scrutinize whether the remuneration advisor is truly independent.</w:t>
            </w:r>
          </w:p>
        </w:tc>
      </w:tr>
    </w:tbl>
    <w:p>
      <w:pPr>
        <w:spacing w:after="200" w:before="0"/>
      </w:pPr>
      <w:r>
        <w:t xml:space="preserve"/>
      </w:r>
    </w:p>
    <w:p>
      <w:r>
        <w:br w:type="page"/>
      </w:r>
    </w:p>
    <w:p>
      <w:pPr>
        <w:shd w:fill="6B4C9A" w:val="clear"/>
        <w:spacing w:after="0" w:before="480"/>
      </w:pPr>
      <w:r>
        <w:rPr>
          <w:rFonts w:ascii="Arial" w:cs="Arial" w:eastAsia="Arial" w:hAnsi="Arial"/>
          <w:b/>
          <w:bCs/>
          <w:color w:val="FFFFFF"/>
          <w:sz w:val="28"/>
          <w:szCs w:val="28"/>
        </w:rPr>
        <w:t xml:space="preserve">  HR Analytics for Total Rewards  </w:t>
      </w:r>
    </w:p>
    <w:p>
      <w:pPr>
        <w:shd w:fill="6B4C9A" w:val="clear"/>
        <w:spacing w:after="240" w:before="0"/>
      </w:pPr>
      <w:r>
        <w:rPr>
          <w:rFonts w:ascii="Arial" w:cs="Arial" w:eastAsia="Arial" w:hAnsi="Arial"/>
          <w:color w:val="FFFFFF"/>
          <w:sz w:val="18"/>
          <w:szCs w:val="18"/>
        </w:rPr>
        <w:t xml:space="preserve">  Questions Q94 – Q105</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94</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a 'people analytics maturity model' and where does Total Rewards analytics typically sit?</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regulatory framework defining the minimum data requirements for HR reporting in different industries</w:t>
            </w:r>
          </w:p>
          <w:p>
            <w:pPr>
              <w:spacing w:after="40" w:before="40"/>
            </w:pPr>
            <w:r>
              <w:rPr>
                <w:rFonts w:ascii="Arial" w:cs="Arial" w:eastAsia="Arial" w:hAnsi="Arial"/>
                <w:color w:val="333333"/>
                <w:sz w:val="20"/>
                <w:szCs w:val="20"/>
              </w:rPr>
              <w:t xml:space="preserve">B. A framework describing the stages of analytical capability — from basic operational reporting (headcount, payroll cost) through descriptive analytics (trends, dashboards), diagnostic analytics (root cause), predictive analytics (forecasting outcomes), and prescriptive analytics (recommending actions). Total Rewards analytics typically spans all stages, beginning with compensation reporting and advancing to pay equity modeling and turnover risk prediction</w:t>
            </w:r>
          </w:p>
          <w:p>
            <w:pPr>
              <w:spacing w:after="40" w:before="40"/>
            </w:pPr>
            <w:r>
              <w:rPr>
                <w:rFonts w:ascii="Arial" w:cs="Arial" w:eastAsia="Arial" w:hAnsi="Arial"/>
                <w:color w:val="333333"/>
                <w:sz w:val="20"/>
                <w:szCs w:val="20"/>
              </w:rPr>
              <w:t xml:space="preserve">C. A model that assesses the maturity of individual HR analysts' statistical skills</w:t>
            </w:r>
          </w:p>
          <w:p>
            <w:pPr>
              <w:spacing w:after="40" w:before="40"/>
            </w:pPr>
            <w:r>
              <w:rPr>
                <w:rFonts w:ascii="Arial" w:cs="Arial" w:eastAsia="Arial" w:hAnsi="Arial"/>
                <w:color w:val="333333"/>
                <w:sz w:val="20"/>
                <w:szCs w:val="20"/>
              </w:rPr>
              <w:t xml:space="preserve">D. A tool used by software vendors to evaluate whether an organization's HRIS is capable of supporting advanced analytics</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Understanding where Total Rewards analytics sits on the maturity curve helps HR teams prioritize capability development. Most organizations have basic compensation reporting; fewer have sophisticated predictive models. The maturity framework helps HR make the case for analytical investment by showing the increasing business value available at higher capability levels.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95</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a 'compensation competitiveness dashboard' and what metrics should it typically include?</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public-facing document showing employees how the organization's pay compares to competitors in the market</w:t>
            </w:r>
          </w:p>
          <w:p>
            <w:pPr>
              <w:spacing w:after="40" w:before="40"/>
            </w:pPr>
            <w:r>
              <w:rPr>
                <w:rFonts w:ascii="Arial" w:cs="Arial" w:eastAsia="Arial" w:hAnsi="Arial"/>
                <w:color w:val="333333"/>
                <w:sz w:val="20"/>
                <w:szCs w:val="20"/>
              </w:rPr>
              <w:t xml:space="preserve">B. A financial report used by the CFO to monitor total payroll cost against budget</w:t>
            </w:r>
          </w:p>
          <w:p>
            <w:pPr>
              <w:spacing w:after="40" w:before="40"/>
            </w:pPr>
            <w:r>
              <w:rPr>
                <w:rFonts w:ascii="Arial" w:cs="Arial" w:eastAsia="Arial" w:hAnsi="Arial"/>
                <w:color w:val="333333"/>
                <w:sz w:val="20"/>
                <w:szCs w:val="20"/>
              </w:rPr>
              <w:t xml:space="preserve">C. An internal management information tool — regularly updated from salary survey data, internal pay data, and market movement indices — that tracks the organization's pay position at each grade level relative to defined market percentiles, identifies where competitiveness is eroding, and flags areas requiring market adjustment or structural review</w:t>
            </w:r>
          </w:p>
          <w:p>
            <w:pPr>
              <w:spacing w:after="40" w:before="40"/>
            </w:pPr>
            <w:r>
              <w:rPr>
                <w:rFonts w:ascii="Arial" w:cs="Arial" w:eastAsia="Arial" w:hAnsi="Arial"/>
                <w:color w:val="333333"/>
                <w:sz w:val="20"/>
                <w:szCs w:val="20"/>
              </w:rPr>
              <w:t xml:space="preserve">D. A regulatory compliance report demonstrating that all employees are paid at least the national minimum wage</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C</w:t>
            </w:r>
            <w:r>
              <w:rPr>
                <w:rFonts w:ascii="Arial" w:cs="Arial" w:eastAsia="Arial" w:hAnsi="Arial"/>
                <w:color w:val="444444"/>
                <w:sz w:val="18"/>
                <w:szCs w:val="18"/>
              </w:rPr>
              <w:t xml:space="preserve">    |    A compensation competitiveness dashboard transforms market pricing from an annual event into ongoing monitoring. By tracking compa-ratio averages at each grade against market percentile targets — and watching for movement as market surveys are updated — HR can identify competitive erosion early and make the case for structural intervention before attraction and retention impact is felt.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96</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the 'cost of voluntary turnover' model and how is it used in Total Rewards investment decisions?</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model that calculates how much the organization saves when employees resign rather than being made redundant</w:t>
            </w:r>
          </w:p>
          <w:p>
            <w:pPr>
              <w:spacing w:after="40" w:before="40"/>
            </w:pPr>
            <w:r>
              <w:rPr>
                <w:rFonts w:ascii="Arial" w:cs="Arial" w:eastAsia="Arial" w:hAnsi="Arial"/>
                <w:color w:val="333333"/>
                <w:sz w:val="20"/>
                <w:szCs w:val="20"/>
              </w:rPr>
              <w:t xml:space="preserve">B. A payroll analysis showing the difference in cost between long-serving and newly hired employees in the same role</w:t>
            </w:r>
          </w:p>
          <w:p>
            <w:pPr>
              <w:spacing w:after="40" w:before="40"/>
            </w:pPr>
            <w:r>
              <w:rPr>
                <w:rFonts w:ascii="Arial" w:cs="Arial" w:eastAsia="Arial" w:hAnsi="Arial"/>
                <w:color w:val="333333"/>
                <w:sz w:val="20"/>
                <w:szCs w:val="20"/>
              </w:rPr>
              <w:t xml:space="preserve">C. A tool for forecasting how many employees will resign in the next 12 months based on current engagement scores</w:t>
            </w:r>
          </w:p>
          <w:p>
            <w:pPr>
              <w:spacing w:after="40" w:before="40"/>
            </w:pPr>
            <w:r>
              <w:rPr>
                <w:rFonts w:ascii="Arial" w:cs="Arial" w:eastAsia="Arial" w:hAnsi="Arial"/>
                <w:color w:val="333333"/>
                <w:sz w:val="20"/>
                <w:szCs w:val="20"/>
              </w:rPr>
              <w:t xml:space="preserve">D. A financial model that calculates the total organizational cost when an employee voluntarily leaves — including recruitment costs, onboarding, productivity loss during vacancy, manager time, training, and the productivity curve of a replacement — used to build the business case for reward investments (e.g., market adjustments, enhanced benefits) by comparing their cost against the higher cost of the turnover they prevent</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D</w:t>
            </w:r>
            <w:r>
              <w:rPr>
                <w:rFonts w:ascii="Arial" w:cs="Arial" w:eastAsia="Arial" w:hAnsi="Arial"/>
                <w:color w:val="444444"/>
                <w:sz w:val="18"/>
                <w:szCs w:val="18"/>
              </w:rPr>
              <w:t xml:space="preserve">    |    The cost of turnover model is one of the most powerful tools for securing reward investment approval. When leadership understands that each mid-level technical employee who leaves costs $35,000–$70,000 to replace, a $500,000 investment in market adjustments that prevents 15 departures generates a clear positive ROI — transforming the conversation from 'can we afford this?' to 'can we afford not to?'</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97</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'real-time pay equity monitoring' and how does it differ from annual pay equity reviews?</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continuous analytical process that monitors pay equity metrics as data changes — through new hires, promotions, merit increases, and departures — rather than conducting a single annual point-in-time analysis. This enables HR to identify emerging gaps as they form rather than discovering them a year after the fact, when they may have compounded and become more expensive to correct</w:t>
            </w:r>
          </w:p>
          <w:p>
            <w:pPr>
              <w:spacing w:after="40" w:before="40"/>
            </w:pPr>
            <w:r>
              <w:rPr>
                <w:rFonts w:ascii="Arial" w:cs="Arial" w:eastAsia="Arial" w:hAnsi="Arial"/>
                <w:color w:val="333333"/>
                <w:sz w:val="20"/>
                <w:szCs w:val="20"/>
              </w:rPr>
              <w:t xml:space="preserve">B. A government surveillance system monitoring employer pay decisions for compliance purposes in real time</w:t>
            </w:r>
          </w:p>
          <w:p>
            <w:pPr>
              <w:spacing w:after="40" w:before="40"/>
            </w:pPr>
            <w:r>
              <w:rPr>
                <w:rFonts w:ascii="Arial" w:cs="Arial" w:eastAsia="Arial" w:hAnsi="Arial"/>
                <w:color w:val="333333"/>
                <w:sz w:val="20"/>
                <w:szCs w:val="20"/>
              </w:rPr>
              <w:t xml:space="preserve">C. An employee-facing tool that allows individuals to check their pay equity status against colleagues at any time</w:t>
            </w:r>
          </w:p>
          <w:p>
            <w:pPr>
              <w:spacing w:after="40" w:before="40"/>
            </w:pPr>
            <w:r>
              <w:rPr>
                <w:rFonts w:ascii="Arial" w:cs="Arial" w:eastAsia="Arial" w:hAnsi="Arial"/>
                <w:color w:val="333333"/>
                <w:sz w:val="20"/>
                <w:szCs w:val="20"/>
              </w:rPr>
              <w:t xml:space="preserve">D. A payroll automation process that checks every pay decision against equity criteria before it is processed</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A</w:t>
            </w:r>
            <w:r>
              <w:rPr>
                <w:rFonts w:ascii="Arial" w:cs="Arial" w:eastAsia="Arial" w:hAnsi="Arial"/>
                <w:color w:val="444444"/>
                <w:sz w:val="18"/>
                <w:szCs w:val="18"/>
              </w:rPr>
              <w:t xml:space="preserve">    |    Real-time monitoring represents the frontier of pay equity governance. As HRIS and analytics capabilities advance, organizations can move from annual snapshots to continuous tracking — flagging when a cluster of below-median offers in a particular function is creating an emerging gap, or when a merit cycle has disproportionately benefited one group over another.</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98</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'headcount cost forecasting' in Total Rewards analytics?</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Predicting how many employees will voluntarily resign in the next financial year based on historical trends</w:t>
            </w:r>
          </w:p>
          <w:p>
            <w:pPr>
              <w:spacing w:after="40" w:before="40"/>
            </w:pPr>
            <w:r>
              <w:rPr>
                <w:rFonts w:ascii="Arial" w:cs="Arial" w:eastAsia="Arial" w:hAnsi="Arial"/>
                <w:color w:val="333333"/>
                <w:sz w:val="20"/>
                <w:szCs w:val="20"/>
              </w:rPr>
              <w:t xml:space="preserve">B. Modeling the projected total people cost for the organization — including current workforce salary costs, planned merit increases, anticipated new hires (with entry-level pay assumptions), expected promotions, and projected leavers — to provide finance with a robust salary budget forecast for the year ahead and enable HR to model the cost implications of different reward decisions before they are made</w:t>
            </w:r>
          </w:p>
          <w:p>
            <w:pPr>
              <w:spacing w:after="40" w:before="40"/>
            </w:pPr>
            <w:r>
              <w:rPr>
                <w:rFonts w:ascii="Arial" w:cs="Arial" w:eastAsia="Arial" w:hAnsi="Arial"/>
                <w:color w:val="333333"/>
                <w:sz w:val="20"/>
                <w:szCs w:val="20"/>
              </w:rPr>
              <w:t xml:space="preserve">C. A tool used by the finance team to calculate pension liabilities for accounting purposes</w:t>
            </w:r>
          </w:p>
          <w:p>
            <w:pPr>
              <w:spacing w:after="40" w:before="40"/>
            </w:pPr>
            <w:r>
              <w:rPr>
                <w:rFonts w:ascii="Arial" w:cs="Arial" w:eastAsia="Arial" w:hAnsi="Arial"/>
                <w:color w:val="333333"/>
                <w:sz w:val="20"/>
                <w:szCs w:val="20"/>
              </w:rPr>
              <w:t xml:space="preserve">D. An analysis of how many headcount the organization can afford if it implements a planned salary increase</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Headcount cost forecasting bridges HR and finance. By modeling all the ways the total payroll cost will change during the year — not just the merit increase but hires, leavers, promotions, and structural changes — HR provides finance with a far more accurate salary budget estimate than a simple 'current salary × 1 + merit %' calculation.</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99</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'skills gap analytics' and how does it connect to Total Rewards strategy?</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An analysis of whether current employees have the skills to use the HR information system effectively</w:t>
            </w:r>
          </w:p>
          <w:p>
            <w:pPr>
              <w:spacing w:after="40" w:before="40"/>
            </w:pPr>
            <w:r>
              <w:rPr>
                <w:rFonts w:ascii="Arial" w:cs="Arial" w:eastAsia="Arial" w:hAnsi="Arial"/>
                <w:color w:val="333333"/>
                <w:sz w:val="20"/>
                <w:szCs w:val="20"/>
              </w:rPr>
              <w:t xml:space="preserve">B. A tool for identifying which employees need performance improvement plans based on their skills assessment results</w:t>
            </w:r>
          </w:p>
          <w:p>
            <w:pPr>
              <w:spacing w:after="40" w:before="40"/>
            </w:pPr>
            <w:r>
              <w:rPr>
                <w:rFonts w:ascii="Arial" w:cs="Arial" w:eastAsia="Arial" w:hAnsi="Arial"/>
                <w:color w:val="333333"/>
                <w:sz w:val="20"/>
                <w:szCs w:val="20"/>
              </w:rPr>
              <w:t xml:space="preserve">C. An analytical process that identifies the difference between the skills the organization currently has in its workforce and the skills it will need to execute its future strategy — with implications for Total Rewards in terms of which skills warrant a pay premium, how learning and development programs should be prioritized and rewarded, and where market pricing analysis needs to focus to ensure critical future capabilities are competitively compensated</w:t>
            </w:r>
          </w:p>
          <w:p>
            <w:pPr>
              <w:spacing w:after="40" w:before="40"/>
            </w:pPr>
            <w:r>
              <w:rPr>
                <w:rFonts w:ascii="Arial" w:cs="Arial" w:eastAsia="Arial" w:hAnsi="Arial"/>
                <w:color w:val="333333"/>
                <w:sz w:val="20"/>
                <w:szCs w:val="20"/>
              </w:rPr>
              <w:t xml:space="preserve">D. An assessment of whether managers have adequate skills to conduct effective performance reviews</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C</w:t>
            </w:r>
            <w:r>
              <w:rPr>
                <w:rFonts w:ascii="Arial" w:cs="Arial" w:eastAsia="Arial" w:hAnsi="Arial"/>
                <w:color w:val="444444"/>
                <w:sz w:val="18"/>
                <w:szCs w:val="18"/>
              </w:rPr>
              <w:t xml:space="preserve">    |    Skills gap analytics is increasingly central to workforce planning and Total Rewards strategy. As organizations shift toward skills-based talent models, understanding which skills are scarce, which are becoming obsolete, and which will be critical in 3–5 years informs decisions about skills-based pay premiums, learning investment prioritization, and strategic hiring.</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100</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a 'reward effectiveness survey' and what does it measure?</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regulatory survey submitted annually to the government documenting total compensation expenditure</w:t>
            </w:r>
          </w:p>
          <w:p>
            <w:pPr>
              <w:spacing w:after="40" w:before="40"/>
            </w:pPr>
            <w:r>
              <w:rPr>
                <w:rFonts w:ascii="Arial" w:cs="Arial" w:eastAsia="Arial" w:hAnsi="Arial"/>
                <w:color w:val="333333"/>
                <w:sz w:val="20"/>
                <w:szCs w:val="20"/>
              </w:rPr>
              <w:t xml:space="preserve">B. A survey of the external market conducted by HR to assess how competitive the organization's pay is</w:t>
            </w:r>
          </w:p>
          <w:p>
            <w:pPr>
              <w:spacing w:after="40" w:before="40"/>
            </w:pPr>
            <w:r>
              <w:rPr>
                <w:rFonts w:ascii="Arial" w:cs="Arial" w:eastAsia="Arial" w:hAnsi="Arial"/>
                <w:color w:val="333333"/>
                <w:sz w:val="20"/>
                <w:szCs w:val="20"/>
              </w:rPr>
              <w:t xml:space="preserve">C. An assessment of the HR team's efficiency in administering the organization's compensation and benefits programs</w:t>
            </w:r>
          </w:p>
          <w:p>
            <w:pPr>
              <w:spacing w:after="40" w:before="40"/>
            </w:pPr>
            <w:r>
              <w:rPr>
                <w:rFonts w:ascii="Arial" w:cs="Arial" w:eastAsia="Arial" w:hAnsi="Arial"/>
                <w:color w:val="333333"/>
                <w:sz w:val="20"/>
                <w:szCs w:val="20"/>
              </w:rPr>
              <w:t xml:space="preserve">D. An internal employee survey — typically embedded within or alongside the annual engagement survey — that measures employees' perceptions of reward fairness, understanding of how pay decisions are made, appreciation of the benefits offered, and overall satisfaction with the reward package, providing HR with data to identify where reward programs are working well and where investment or communication improvements are needed</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D</w:t>
            </w:r>
            <w:r>
              <w:rPr>
                <w:rFonts w:ascii="Arial" w:cs="Arial" w:eastAsia="Arial" w:hAnsi="Arial"/>
                <w:color w:val="444444"/>
                <w:sz w:val="18"/>
                <w:szCs w:val="18"/>
              </w:rPr>
              <w:t xml:space="preserve">    |    Reward effectiveness surveys close the feedback loop in Total Rewards management. By measuring not just what reward programs exist but whether employees understand them, value them, and perceive them as fair, HR gains insights that market benchmarking alone cannot provide — enabling targeted interventions in communication, program design, or manager capability.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101</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a 'people cost as percentage of revenue' metric and why is it tracked?</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high-level financial ratio expressing total people cost (salaries, benefits, employer contributions, and related costs) as a proportion of total revenue — used by HR and finance to track workforce cost efficiency over time, benchmark against industry norms, and model the impact of headcount and reward decisions on business financial performance. Industries with high people cost ratios (professional services, healthcare) use this metric particularly actively</w:t>
            </w:r>
          </w:p>
          <w:p>
            <w:pPr>
              <w:spacing w:after="40" w:before="40"/>
            </w:pPr>
            <w:r>
              <w:rPr>
                <w:rFonts w:ascii="Arial" w:cs="Arial" w:eastAsia="Arial" w:hAnsi="Arial"/>
                <w:color w:val="333333"/>
                <w:sz w:val="20"/>
                <w:szCs w:val="20"/>
              </w:rPr>
              <w:t xml:space="preserve">B. The proportion of employee time spent on revenue-generating activities versus administrative work</w:t>
            </w:r>
          </w:p>
          <w:p>
            <w:pPr>
              <w:spacing w:after="40" w:before="40"/>
            </w:pPr>
            <w:r>
              <w:rPr>
                <w:rFonts w:ascii="Arial" w:cs="Arial" w:eastAsia="Arial" w:hAnsi="Arial"/>
                <w:color w:val="333333"/>
                <w:sz w:val="20"/>
                <w:szCs w:val="20"/>
              </w:rPr>
              <w:t xml:space="preserve">C. A metric showing how much of each employee's salary is funded by revenue versus capital</w:t>
            </w:r>
          </w:p>
          <w:p>
            <w:pPr>
              <w:spacing w:after="40" w:before="40"/>
            </w:pPr>
            <w:r>
              <w:rPr>
                <w:rFonts w:ascii="Arial" w:cs="Arial" w:eastAsia="Arial" w:hAnsi="Arial"/>
                <w:color w:val="333333"/>
                <w:sz w:val="20"/>
                <w:szCs w:val="20"/>
              </w:rPr>
              <w:t xml:space="preserve">D. The percentage of the organization's annual revenue distributed to employees as performance bonuses</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A</w:t>
            </w:r>
            <w:r>
              <w:rPr>
                <w:rFonts w:ascii="Arial" w:cs="Arial" w:eastAsia="Arial" w:hAnsi="Arial"/>
                <w:color w:val="444444"/>
                <w:sz w:val="18"/>
                <w:szCs w:val="18"/>
              </w:rPr>
              <w:t xml:space="preserve">    |    People cost as a percentage of revenue is a bridge metric between HR and the CFO. It contextualizes reward investment decisions within business performance — a 35% ratio is sustainable if revenue is growing; it is alarming if revenue is declining while headcount cost holds steady. Tracking trends in this metric helps HR anticipate financial pressure on reward budgets.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102</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'pay band utilization analysis' and what does it reveal?</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measure of how often employees access the HR portal to view their pay band information</w:t>
            </w:r>
          </w:p>
          <w:p>
            <w:pPr>
              <w:spacing w:after="40" w:before="40"/>
            </w:pPr>
            <w:r>
              <w:rPr>
                <w:rFonts w:ascii="Arial" w:cs="Arial" w:eastAsia="Arial" w:hAnsi="Arial"/>
                <w:color w:val="333333"/>
                <w:sz w:val="20"/>
                <w:szCs w:val="20"/>
              </w:rPr>
              <w:t xml:space="preserve">B. An analysis of how salaries are distributed across the width of each salary range — examining what proportion of employees are clustered near the minimum, midpoint, or maximum — revealing whether ranges are being used as intended, whether compression is developing, whether high performers are progressing through ranges appropriately, and whether ranges need to be redesigned or repositioned</w:t>
            </w:r>
          </w:p>
          <w:p>
            <w:pPr>
              <w:spacing w:after="40" w:before="40"/>
            </w:pPr>
            <w:r>
              <w:rPr>
                <w:rFonts w:ascii="Arial" w:cs="Arial" w:eastAsia="Arial" w:hAnsi="Arial"/>
                <w:color w:val="333333"/>
                <w:sz w:val="20"/>
                <w:szCs w:val="20"/>
              </w:rPr>
              <w:t xml:space="preserve">C. A comparison of how different pay bands are utilized by different demographic groups as a proxy for equity</w:t>
            </w:r>
          </w:p>
          <w:p>
            <w:pPr>
              <w:spacing w:after="40" w:before="40"/>
            </w:pPr>
            <w:r>
              <w:rPr>
                <w:rFonts w:ascii="Arial" w:cs="Arial" w:eastAsia="Arial" w:hAnsi="Arial"/>
                <w:color w:val="333333"/>
                <w:sz w:val="20"/>
                <w:szCs w:val="20"/>
              </w:rPr>
              <w:t xml:space="preserve">D. A report on how frequently HR approves exceptions to take salaries outside the defined pay bands</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B</w:t>
            </w:r>
            <w:r>
              <w:rPr>
                <w:rFonts w:ascii="Arial" w:cs="Arial" w:eastAsia="Arial" w:hAnsi="Arial"/>
                <w:color w:val="444444"/>
                <w:sz w:val="18"/>
                <w:szCs w:val="18"/>
              </w:rPr>
              <w:t xml:space="preserve">    |    Pay band utilization analysis is a diagnostic tool for salary structure health. If 60% of employees in a grade are clustered between midpoint and maximum, the structure may be too narrow or midpoints too low. If most employees are near minimum, the structure may be too high relative to market, or merit increases may not be moving people through the range appropriately.</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103</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'voluntary benefits take-up analysis' and how does it inform benefits strategy?</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An analysis of how many employees have voluntarily resigned in the past year and their reasons for leaving</w:t>
            </w:r>
          </w:p>
          <w:p>
            <w:pPr>
              <w:spacing w:after="40" w:before="40"/>
            </w:pPr>
            <w:r>
              <w:rPr>
                <w:rFonts w:ascii="Arial" w:cs="Arial" w:eastAsia="Arial" w:hAnsi="Arial"/>
                <w:color w:val="333333"/>
                <w:sz w:val="20"/>
                <w:szCs w:val="20"/>
              </w:rPr>
              <w:t xml:space="preserve">B. A measure of how many employees chose to opt in to the organization's pension plan above the minimum contribution</w:t>
            </w:r>
          </w:p>
          <w:p>
            <w:pPr>
              <w:spacing w:after="40" w:before="40"/>
            </w:pPr>
            <w:r>
              <w:rPr>
                <w:rFonts w:ascii="Arial" w:cs="Arial" w:eastAsia="Arial" w:hAnsi="Arial"/>
                <w:color w:val="333333"/>
                <w:sz w:val="20"/>
                <w:szCs w:val="20"/>
              </w:rPr>
              <w:t xml:space="preserve">C. An analysis of enrollment and utilization rates for voluntary benefits — by employee segment, demographic, and benefit type — revealing which benefits are valued and used (justifying continued investment) and which are underutilized (raising questions about whether they meet employee needs, are sufficiently communicated, or represent good value for the cost), informing both benefit design and communication prioritization</w:t>
            </w:r>
          </w:p>
          <w:p>
            <w:pPr>
              <w:spacing w:after="40" w:before="40"/>
            </w:pPr>
            <w:r>
              <w:rPr>
                <w:rFonts w:ascii="Arial" w:cs="Arial" w:eastAsia="Arial" w:hAnsi="Arial"/>
                <w:color w:val="333333"/>
                <w:sz w:val="20"/>
                <w:szCs w:val="20"/>
              </w:rPr>
              <w:t xml:space="preserve">D. A comparison of voluntary benefits costs against market benchmarks for similar-sized organizations</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C</w:t>
            </w:r>
            <w:r>
              <w:rPr>
                <w:rFonts w:ascii="Arial" w:cs="Arial" w:eastAsia="Arial" w:hAnsi="Arial"/>
                <w:color w:val="444444"/>
                <w:sz w:val="18"/>
                <w:szCs w:val="18"/>
              </w:rPr>
              <w:t xml:space="preserve">    |    Take-up analysis transforms benefits management from assumption-based to evidence-based. Organizations that discover their cycle-to-work scheme has 40% utilization while their financial coaching service has 8% utilization gain actionable insight: invest more in promoting financial coaching, redesign or replace the underperforming benefit, and direct communication resources to where they have the most impact.</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104</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a 'compensation scenario planning model' and when is it particularly valuable?</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A model predicting which employees are most likely to negotiate salary increases in the next review cycle</w:t>
            </w:r>
          </w:p>
          <w:p>
            <w:pPr>
              <w:spacing w:after="40" w:before="40"/>
            </w:pPr>
            <w:r>
              <w:rPr>
                <w:rFonts w:ascii="Arial" w:cs="Arial" w:eastAsia="Arial" w:hAnsi="Arial"/>
                <w:color w:val="333333"/>
                <w:sz w:val="20"/>
                <w:szCs w:val="20"/>
              </w:rPr>
              <w:t xml:space="preserve">B. A statistical tool for automatically determining the optimal salary increase for each employee based on their performance data</w:t>
            </w:r>
          </w:p>
          <w:p>
            <w:pPr>
              <w:spacing w:after="40" w:before="40"/>
            </w:pPr>
            <w:r>
              <w:rPr>
                <w:rFonts w:ascii="Arial" w:cs="Arial" w:eastAsia="Arial" w:hAnsi="Arial"/>
                <w:color w:val="333333"/>
                <w:sz w:val="20"/>
                <w:szCs w:val="20"/>
              </w:rPr>
              <w:t xml:space="preserve">C. A government-required financial model demonstrating that the organization can afford its current compensation commitments</w:t>
            </w:r>
          </w:p>
          <w:p>
            <w:pPr>
              <w:spacing w:after="40" w:before="40"/>
            </w:pPr>
            <w:r>
              <w:rPr>
                <w:rFonts w:ascii="Arial" w:cs="Arial" w:eastAsia="Arial" w:hAnsi="Arial"/>
                <w:color w:val="333333"/>
                <w:sz w:val="20"/>
                <w:szCs w:val="20"/>
              </w:rPr>
              <w:t xml:space="preserve">D. An analytical model that projects the cost, equity, and competitiveness implications of different reward policy choices — for example, comparing the impact of a 3% vs 4% merit budget, the cost of extending health insurance to dependants, or the equity implications of adjusting merit guidelines — enabling HR to present leadership with evidence-based choices and trade-offs rather than a single recommendation</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D</w:t>
            </w:r>
            <w:r>
              <w:rPr>
                <w:rFonts w:ascii="Arial" w:cs="Arial" w:eastAsia="Arial" w:hAnsi="Arial"/>
                <w:color w:val="444444"/>
                <w:sz w:val="18"/>
                <w:szCs w:val="18"/>
              </w:rPr>
              <w:t xml:space="preserve">    |    Scenario planning models transform compensation decisions from gut-feel to evidence-based. When HR can show leadership that Option A costs $2M more but retains projected 12 additional employees (saving $420K in replacement costs), while Option B is cheaper but creates measurable compression risk in the Engineering function — the decision becomes more informed, better governed, and more defensible.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6B4C9A" w:val="clear"/>
            <w:tcMar>
              <w:top w:type="dxa" w:w="120"/>
              <w:left w:type="dxa" w:w="120"/>
              <w:bottom w:type="dxa" w:w="60"/>
              <w:right w:type="dxa" w:w="80"/>
            </w:tcMar>
          </w:tcPr>
          <w:p>
            <w:pPr>
              <w:jc w:val="center"/>
            </w:pPr>
            <w:r>
              <w:rPr>
                <w:rFonts w:ascii="Arial" w:cs="Arial" w:eastAsia="Arial" w:hAnsi="Arial"/>
                <w:b/>
                <w:bCs/>
                <w:color w:val="FFFFFF"/>
                <w:sz w:val="22"/>
                <w:szCs w:val="22"/>
              </w:rPr>
              <w:t xml:space="preserve">105</w:t>
            </w:r>
          </w:p>
        </w:tc>
        <w:tc>
          <w:tcPr>
            <w:tcW w:type="dxa" w:w="8720"/>
            <w:tcBorders>
              <w:top w:val="single" w:color="E5E5E5" w:sz="4"/>
              <w:left w:val="none" w:color="FFFFFF" w:sz="0"/>
              <w:bottom w:val="none" w:color="FFFFFF" w:sz="0"/>
              <w:right w:val="none" w:color="FFFFFF" w:sz="0"/>
            </w:tcBorders>
            <w:shd w:fill="EFE9F8" w:val="clear"/>
            <w:tcMar>
              <w:top w:type="dxa" w:w="120"/>
              <w:left w:type="dxa" w:w="160"/>
              <w:bottom w:type="dxa" w:w="80"/>
              <w:right w:type="dxa" w:w="120"/>
            </w:tcMar>
          </w:tcPr>
          <w:p>
            <w:r>
              <w:rPr>
                <w:rFonts w:ascii="Arial" w:cs="Arial" w:eastAsia="Arial" w:hAnsi="Arial"/>
                <w:b/>
                <w:bCs/>
                <w:color w:val="1A1A1A"/>
                <w:sz w:val="22"/>
                <w:szCs w:val="22"/>
              </w:rPr>
              <w:t xml:space="preserve">What is 'HR data quality management' and why is it foundational to reliable Total Rewards analytics?</w:t>
            </w:r>
          </w:p>
        </w:tc>
      </w:tr>
      <w:tr>
        <w:tc>
          <w:tcPr>
            <w:tcW w:type="dxa" w:w="640"/>
            <w:tcBorders>
              <w:top w:val="none" w:color="FFFFFF" w:sz="0"/>
              <w:left w:val="none" w:color="FFFFFF" w:sz="0"/>
              <w:bottom w:val="none" w:color="FFFFFF" w:sz="0"/>
              <w:right w:val="none" w:color="FFFFFF" w:sz="0"/>
            </w:tcBorders>
            <w:shd w:fill="6B4C9A" w:val="clear"/>
          </w:tcPr>
          <w:p>
            <w:r>
              <w:t xml:space="preserve"/>
            </w:r>
          </w:p>
        </w:tc>
        <w:tc>
          <w:tcPr>
            <w:tcW w:type="dxa" w:w="8720"/>
            <w:tcBorders>
              <w:top w:val="none" w:color="FFFFFF" w:sz="0"/>
              <w:left w:val="none" w:color="FFFFFF" w:sz="0"/>
              <w:bottom w:val="none" w:color="FFFFFF" w:sz="0"/>
              <w:right w:val="none" w:color="FFFFFF" w:sz="0"/>
            </w:tcBorders>
            <w:shd w:fill="EFE9F8" w:val="clear"/>
            <w:tcMar>
              <w:top w:type="dxa" w:w="0"/>
              <w:left w:type="dxa" w:w="160"/>
              <w:bottom w:type="dxa" w:w="80"/>
              <w:right w:type="dxa" w:w="120"/>
            </w:tcMar>
          </w:tcPr>
          <w:p>
            <w:pPr>
              <w:spacing w:after="40" w:before="40"/>
            </w:pPr>
            <w:r>
              <w:rPr>
                <w:rFonts w:ascii="Arial" w:cs="Arial" w:eastAsia="Arial" w:hAnsi="Arial"/>
                <w:color w:val="333333"/>
                <w:sz w:val="20"/>
                <w:szCs w:val="20"/>
              </w:rPr>
              <w:t xml:space="preserve">A. The ongoing processes of validating, cleaning, reconciling, and governing the accuracy and completeness of HR data — including job grades, salary figures, reporting relationships, performance ratings, and demographic information — without which any analytical output, however sophisticated, will produce unreliable conclusions that could lead to misdiagnosis of pay equity issues, flawed market positioning assessments, and poorly calibrated workforce cost forecasts</w:t>
            </w:r>
          </w:p>
          <w:p>
            <w:pPr>
              <w:spacing w:after="40" w:before="40"/>
            </w:pPr>
            <w:r>
              <w:rPr>
                <w:rFonts w:ascii="Arial" w:cs="Arial" w:eastAsia="Arial" w:hAnsi="Arial"/>
                <w:color w:val="333333"/>
                <w:sz w:val="20"/>
                <w:szCs w:val="20"/>
              </w:rPr>
              <w:t xml:space="preserve">B. A regulatory requirement for HR teams to submit all employee data to government authorities for verification purposes</w:t>
            </w:r>
          </w:p>
          <w:p>
            <w:pPr>
              <w:spacing w:after="40" w:before="40"/>
            </w:pPr>
            <w:r>
              <w:rPr>
                <w:rFonts w:ascii="Arial" w:cs="Arial" w:eastAsia="Arial" w:hAnsi="Arial"/>
                <w:color w:val="333333"/>
                <w:sz w:val="20"/>
                <w:szCs w:val="20"/>
              </w:rPr>
              <w:t xml:space="preserve">C. A software feature that automatically corrects errors in HR data without human review</w:t>
            </w:r>
          </w:p>
          <w:p>
            <w:pPr>
              <w:spacing w:after="40" w:before="40"/>
            </w:pPr>
            <w:r>
              <w:rPr>
                <w:rFonts w:ascii="Arial" w:cs="Arial" w:eastAsia="Arial" w:hAnsi="Arial"/>
                <w:color w:val="333333"/>
                <w:sz w:val="20"/>
                <w:szCs w:val="20"/>
              </w:rPr>
              <w:t xml:space="preserve">D. An annual IT project to migrate HR data from old systems to new systems without loss of information</w:t>
            </w:r>
          </w:p>
        </w:tc>
      </w:tr>
      <w:tr>
        <w:tc>
          <w:tcPr>
            <w:tcW w:type="dxa" w:w="640"/>
            <w:tcBorders>
              <w:top w:val="none" w:color="FFFFFF" w:sz="0"/>
              <w:left w:val="none" w:color="FFFFFF" w:sz="0"/>
              <w:bottom w:val="none" w:color="FFFFFF" w:sz="0"/>
              <w:right w:val="none" w:color="FFFFFF" w:sz="0"/>
            </w:tcBorders>
            <w:shd w:fill="6B4C9A" w:val="clear"/>
            <w:tcMar>
              <w:top w:type="dxa" w:w="80"/>
              <w:left w:type="dxa" w:w="120"/>
              <w:bottom w:type="dxa" w:w="120"/>
              <w:right w:type="dxa" w:w="80"/>
            </w:tcMar>
          </w:tcPr>
          <w:p>
            <w:pPr>
              <w:jc w:val="center"/>
            </w:pPr>
            <w:r>
              <w:rPr>
                <w:rFonts w:ascii="Arial" w:cs="Arial" w:eastAsia="Arial" w:hAnsi="Arial"/>
                <w:b/>
                <w:bCs/>
                <w:color w:val="FFFFFF"/>
                <w:sz w:val="16"/>
                <w:szCs w:val="16"/>
              </w:rPr>
              <w:t xml:space="preserve">ANS</w:t>
            </w:r>
          </w:p>
        </w:tc>
        <w:tc>
          <w:tcPr>
            <w:tcW w:type="dxa" w:w="8720"/>
            <w:tcBorders>
              <w:top w:val="single" w:color="E5E5E5" w:sz="4"/>
              <w:left w:val="none" w:color="FFFFFF" w:sz="0"/>
              <w:bottom w:val="single" w:color="E5E5E5" w:sz="4"/>
              <w:right w:val="none" w:color="FFFFFF" w:sz="0"/>
            </w:tcBorders>
            <w:shd w:fill="EFE9F8" w:val="clear"/>
            <w:tcMar>
              <w:top w:type="dxa" w:w="80"/>
              <w:left w:type="dxa" w:w="160"/>
              <w:bottom w:type="dxa" w:w="100"/>
              <w:right w:type="dxa" w:w="120"/>
            </w:tcMar>
          </w:tcPr>
          <w:p>
            <w:r>
              <w:rPr>
                <w:rFonts w:ascii="Arial" w:cs="Arial" w:eastAsia="Arial" w:hAnsi="Arial"/>
                <w:b/>
                <w:bCs/>
                <w:color w:val="6B4C9A"/>
                <w:sz w:val="20"/>
                <w:szCs w:val="20"/>
              </w:rPr>
              <w:t xml:space="preserve">Answer: A</w:t>
            </w:r>
            <w:r>
              <w:rPr>
                <w:rFonts w:ascii="Arial" w:cs="Arial" w:eastAsia="Arial" w:hAnsi="Arial"/>
                <w:color w:val="444444"/>
                <w:sz w:val="18"/>
                <w:szCs w:val="18"/>
              </w:rPr>
              <w:t xml:space="preserve">    |    Data quality is the unglamorous foundation of everything in HR analytics. The most sophisticated predictive model produces misleading output if the underlying grade assignments are inaccurate, salary figures include errors, or performance ratings have not been refreshed. Investing in data quality management — data stewards, validation rules, regular audits — is the prerequisite for trustworthy analytics.</w:t>
            </w:r>
          </w:p>
        </w:tc>
      </w:tr>
    </w:tbl>
    <w:p>
      <w:pPr>
        <w:spacing w:after="200" w:before="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2026-06-07T13:11:44.018Z</dcterms:created>
  <dcterms:modified xsi:type="dcterms:W3CDTF">2026-06-07T13:11:44.037Z</dcterms:modified>
</cp:coreProperties>
</file>

<file path=docProps/custom.xml><?xml version="1.0" encoding="utf-8"?>
<Properties xmlns="http://schemas.openxmlformats.org/officeDocument/2006/custom-properties" xmlns:vt="http://schemas.openxmlformats.org/officeDocument/2006/docPropsVTypes"/>
</file>