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8963E"/>
          <w:sz w:val="52"/>
          <w:szCs w:val="52"/>
        </w:rPr>
        <w:t xml:space="preserve">REWARDOLOGY ACADEMY</w:t>
      </w:r>
    </w:p>
    <w:p>
      <w:pPr>
        <w:spacing w:after="120" w:before="0"/>
        <w:jc w:val="center"/>
      </w:pPr>
      <w:r>
        <w:rPr>
          <w:rFonts w:ascii="Arial" w:cs="Arial" w:eastAsia="Arial" w:hAnsi="Arial"/>
          <w:b/>
          <w:bCs/>
          <w:color w:val="1A1A1A"/>
          <w:sz w:val="40"/>
          <w:szCs w:val="40"/>
        </w:rPr>
        <w:t xml:space="preserve">Daily Quiz Question Bank — Volume 4</w:t>
      </w:r>
    </w:p>
    <w:p>
      <w:pPr>
        <w:spacing w:after="80" w:before="0"/>
        <w:jc w:val="center"/>
      </w:pPr>
      <w:r>
        <w:rPr>
          <w:rFonts w:ascii="Arial" w:cs="Arial" w:eastAsia="Arial" w:hAnsi="Arial"/>
          <w:i/>
          <w:iCs/>
          <w:color w:val="555555"/>
          <w:sz w:val="24"/>
          <w:szCs w:val="24"/>
        </w:rPr>
        <w:t xml:space="preserve">50 New Questions  ·  Balanced A/B/C/D Distribution  ·  9 Total Rewards Topics</w:t>
      </w:r>
    </w:p>
    <w:p>
      <w:pPr>
        <w:spacing w:after="80" w:before="0"/>
        <w:jc w:val="center"/>
      </w:pPr>
      <w:r>
        <w:rPr>
          <w:rFonts w:ascii="Arial" w:cs="Arial" w:eastAsia="Arial" w:hAnsi="Arial"/>
          <w:color w:val="777777"/>
          <w:sz w:val="20"/>
          <w:szCs w:val="20"/>
        </w:rPr>
        <w:t xml:space="preserve">Answer distribution: A = 13  |  B = 13  |  C = 12  |  D = 12</w:t>
      </w:r>
    </w:p>
    <w:p>
      <w:pPr>
        <w:pBdr>
          <w:bottom w:val="single" w:color="C8963E" w:sz="8" w:space="4"/>
        </w:pBdr>
        <w:spacing w:after="280" w:before="280"/>
      </w:pPr>
      <w:r>
        <w:t xml:space="preserve"/>
      </w:r>
    </w:p>
    <w:p>
      <w:pPr>
        <w:spacing w:after="180" w:before="200"/>
      </w:pPr>
      <w:r>
        <w:rPr>
          <w:rFonts w:ascii="Arial" w:cs="Arial" w:eastAsia="Arial" w:hAnsi="Arial"/>
          <w:b/>
          <w:bCs/>
          <w:color w:val="1A1A1A"/>
          <w:sz w:val="28"/>
          <w:szCs w:val="28"/>
        </w:rPr>
        <w:t xml:space="preserve">Topic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00"/>
        <w:gridCol w:w="1800"/>
        <w:gridCol w:w="1120"/>
      </w:tblGrid>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1</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Total Rewards Fundamentals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 – Q6</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6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2</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Compensation Design</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Q7 – Q12</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6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3</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Equity</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Q13 – Q18</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6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4</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Job Evaluation &amp; Market Pricing</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Q19 – Q24</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6 Qs</w:t>
            </w:r>
          </w:p>
        </w:tc>
      </w:tr>
      <w:tr>
        <w:tc>
          <w:tcPr>
            <w:tcW w:type="dxa" w:w="640"/>
            <w:tcBorders>
              <w:top w:val="single" w:color="E5E5E5" w:sz="4"/>
              <w:left w:val="single" w:color="E5E5E5" w:sz="4"/>
              <w:bottom w:val="single" w:color="E5E5E5" w:sz="4"/>
              <w:right w:val="single" w:color="E5E5E5" w:sz="4"/>
            </w:tcBorders>
            <w:shd w:fill="3A7D4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5</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Benefits &amp; Wellbeing</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Q25 – Q30</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6 Qs</w:t>
            </w:r>
          </w:p>
        </w:tc>
      </w:tr>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6</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Variable Pay &amp; Incentives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Q31 – Q36</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6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7</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Transparency &amp; Communication</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Q37 – Q41</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5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8</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Executive Compensation &amp; Global Rewards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Q42 – Q45</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4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9</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HR Analytics for Total Rewards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Q46 – Q50</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5 Qs</w:t>
            </w:r>
          </w:p>
        </w:tc>
      </w:tr>
    </w:tbl>
    <w:p>
      <w:pPr>
        <w:spacing w:after="240" w:before="0"/>
      </w:pPr>
      <w:r>
        <w:t xml:space="preserve"/>
      </w:r>
    </w:p>
    <w:p>
      <w:pPr>
        <w:spacing w:after="100" w:before="0"/>
      </w:pPr>
      <w:r>
        <w:rPr>
          <w:rFonts w:ascii="Arial" w:cs="Arial" w:eastAsia="Arial" w:hAnsi="Arial"/>
          <w:b/>
          <w:bCs/>
          <w:color w:val="1A1A1A"/>
          <w:sz w:val="24"/>
          <w:szCs w:val="24"/>
        </w:rPr>
        <w:t xml:space="preserve">Volume 4 Notes</w:t>
      </w:r>
    </w:p>
    <w:p>
      <w:pPr>
        <w:pStyle w:val="ListParagraph"/>
        <w:numPr>
          <w:ilvl w:val="0"/>
          <w:numId w:val="2"/>
        </w:numPr>
        <w:spacing w:after="40" w:before="40"/>
      </w:pPr>
      <w:r>
        <w:rPr>
          <w:rFonts w:ascii="Arial" w:cs="Arial" w:eastAsia="Arial" w:hAnsi="Arial"/>
          <w:color w:val="333333"/>
          <w:sz w:val="20"/>
          <w:szCs w:val="20"/>
        </w:rPr>
        <w:t xml:space="preserve">All 50 questions are brand new — no repeats from Volumes 1, 2, or 3.</w:t>
      </w:r>
    </w:p>
    <w:p>
      <w:pPr>
        <w:pStyle w:val="ListParagraph"/>
        <w:numPr>
          <w:ilvl w:val="0"/>
          <w:numId w:val="2"/>
        </w:numPr>
        <w:spacing w:after="40" w:before="40"/>
      </w:pPr>
      <w:r>
        <w:rPr>
          <w:rFonts w:ascii="Arial" w:cs="Arial" w:eastAsia="Arial" w:hAnsi="Arial"/>
          <w:color w:val="333333"/>
          <w:sz w:val="20"/>
          <w:szCs w:val="20"/>
        </w:rPr>
        <w:t xml:space="preserve">Correct answer positions are balanced: A = 13, B = 13, C = 12, D = 12.</w:t>
      </w:r>
    </w:p>
    <w:p>
      <w:pPr>
        <w:pStyle w:val="ListParagraph"/>
        <w:numPr>
          <w:ilvl w:val="0"/>
          <w:numId w:val="2"/>
        </w:numPr>
        <w:spacing w:after="40" w:before="40"/>
      </w:pPr>
      <w:r>
        <w:rPr>
          <w:rFonts w:ascii="Arial" w:cs="Arial" w:eastAsia="Arial" w:hAnsi="Arial"/>
          <w:color w:val="333333"/>
          <w:sz w:val="20"/>
          <w:szCs w:val="20"/>
        </w:rPr>
        <w:t xml:space="preserve">Volume 4 covers advanced and integrative topics: reward circularity, benefits governance, sentiment analytics, pay transparency in M&amp;A, executive succession, and board-level reporting.</w:t>
      </w:r>
    </w:p>
    <w:p>
      <w:pPr>
        <w:pStyle w:val="ListParagraph"/>
        <w:numPr>
          <w:ilvl w:val="0"/>
          <w:numId w:val="2"/>
        </w:numPr>
        <w:spacing w:after="40" w:before="40"/>
      </w:pPr>
      <w:r>
        <w:rPr>
          <w:rFonts w:ascii="Arial" w:cs="Arial" w:eastAsia="Arial" w:hAnsi="Arial"/>
          <w:color w:val="333333"/>
          <w:sz w:val="20"/>
          <w:szCs w:val="20"/>
        </w:rPr>
        <w:t xml:space="preserve">Combine all four volumes for a 365-question bank spanning the full Total Rewards curriculum.</w:t>
      </w:r>
    </w:p>
    <w:p>
      <w:pPr>
        <w:pStyle w:val="ListParagraph"/>
        <w:numPr>
          <w:ilvl w:val="0"/>
          <w:numId w:val="2"/>
        </w:numPr>
        <w:spacing w:after="40" w:before="40"/>
      </w:pPr>
      <w:r>
        <w:rPr>
          <w:rFonts w:ascii="Arial" w:cs="Arial" w:eastAsia="Arial" w:hAnsi="Arial"/>
          <w:color w:val="333333"/>
          <w:sz w:val="20"/>
          <w:szCs w:val="20"/>
        </w:rPr>
        <w:t xml:space="preserve">Each question includes a full explanation usable as post-answer learning content on the platform.</w:t>
      </w:r>
    </w:p>
    <w:p>
      <w:r>
        <w:br w:type="page"/>
      </w:r>
    </w:p>
    <w:p>
      <w:pPr>
        <w:shd w:fill="C8963E" w:val="clear"/>
        <w:spacing w:after="0" w:before="480"/>
      </w:pPr>
      <w:r>
        <w:rPr>
          <w:rFonts w:ascii="Arial" w:cs="Arial" w:eastAsia="Arial" w:hAnsi="Arial"/>
          <w:b/>
          <w:bCs/>
          <w:color w:val="FFFFFF"/>
          <w:sz w:val="28"/>
          <w:szCs w:val="28"/>
        </w:rPr>
        <w:t xml:space="preserve">  Total Rewards Fundamentals  </w:t>
      </w:r>
    </w:p>
    <w:p>
      <w:pPr>
        <w:shd w:fill="C8963E" w:val="clear"/>
        <w:spacing w:after="240" w:before="0"/>
      </w:pPr>
      <w:r>
        <w:rPr>
          <w:rFonts w:ascii="Arial" w:cs="Arial" w:eastAsia="Arial" w:hAnsi="Arial"/>
          <w:color w:val="FFFFFF"/>
          <w:sz w:val="18"/>
          <w:szCs w:val="18"/>
        </w:rPr>
        <w:t xml:space="preserve">  Questions Q1 – Q6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'employee experience' and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 experience is the broader concept — encompassing every interaction, feeling, and impression an employee has across the entire employment relationship, from recruitment to exit. Total Rewards is a significant subset of employee experience, covering the financial and non-financial value the organization provides. Strong Total Rewards contributes to a positive employee experience, but cannot compensate for poor leadership, toxic culture, or broken processes.</w:t>
            </w:r>
          </w:p>
          <w:p>
            <w:pPr>
              <w:spacing w:after="40" w:before="40"/>
            </w:pPr>
            <w:r>
              <w:rPr>
                <w:rFonts w:ascii="Arial" w:cs="Arial" w:eastAsia="Arial" w:hAnsi="Arial"/>
                <w:color w:val="333333"/>
                <w:sz w:val="20"/>
                <w:szCs w:val="20"/>
              </w:rPr>
              <w:t xml:space="preserve">B. They are interchangeable terms that describe the same organizational commitment to employee satisfaction.</w:t>
            </w:r>
          </w:p>
          <w:p>
            <w:pPr>
              <w:spacing w:after="40" w:before="40"/>
            </w:pPr>
            <w:r>
              <w:rPr>
                <w:rFonts w:ascii="Arial" w:cs="Arial" w:eastAsia="Arial" w:hAnsi="Arial"/>
                <w:color w:val="333333"/>
                <w:sz w:val="20"/>
                <w:szCs w:val="20"/>
              </w:rPr>
              <w:t xml:space="preserve">C. Total Rewards is broader than employee experience — it includes all business performance metrics as well as people programs.</w:t>
            </w:r>
          </w:p>
          <w:p>
            <w:pPr>
              <w:spacing w:after="40" w:before="40"/>
            </w:pPr>
            <w:r>
              <w:rPr>
                <w:rFonts w:ascii="Arial" w:cs="Arial" w:eastAsia="Arial" w:hAnsi="Arial"/>
                <w:color w:val="333333"/>
                <w:sz w:val="20"/>
                <w:szCs w:val="20"/>
              </w:rPr>
              <w:t xml:space="preserve">D. Employee experience is managed exclusively by the Marketing team; Total Rewards is managed exclusively by HR.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Employee experience is the sum of all interactions across the employment lifecycle — physical environment, technology, culture, relationships, and rewards. Total Rewards is a core pillar of that experience, but even excellent pay and benefits cannot offset a damaging manager relationship or a toxic organizational culture.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it mean to 'measure the effectiveness' of a Total Rewards strategy?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Calculating the total monetary cost of all reward programs to assess whether the organization is spending within budget.</w:t>
            </w:r>
          </w:p>
          <w:p>
            <w:pPr>
              <w:spacing w:after="40" w:before="40"/>
            </w:pPr>
            <w:r>
              <w:rPr>
                <w:rFonts w:ascii="Arial" w:cs="Arial" w:eastAsia="Arial" w:hAnsi="Arial"/>
                <w:color w:val="333333"/>
                <w:sz w:val="20"/>
                <w:szCs w:val="20"/>
              </w:rPr>
              <w:t xml:space="preserve">B. Assessing whether reward programs are achieving their intended outcomes — typically by tracking metrics such as employee engagement scores, voluntary turnover rates, offer acceptance rates, internal mobility rates, pay equity audit results, benefit utilization, and employee survey data on perceived fairness and reward understanding — and comparing these against targets and benchmarks.</w:t>
            </w:r>
          </w:p>
          <w:p>
            <w:pPr>
              <w:spacing w:after="40" w:before="40"/>
            </w:pPr>
            <w:r>
              <w:rPr>
                <w:rFonts w:ascii="Arial" w:cs="Arial" w:eastAsia="Arial" w:hAnsi="Arial"/>
                <w:color w:val="333333"/>
                <w:sz w:val="20"/>
                <w:szCs w:val="20"/>
              </w:rPr>
              <w:t xml:space="preserve">C. Confirming that all reward programs comply with the applicable employment legislation in each country.</w:t>
            </w:r>
          </w:p>
          <w:p>
            <w:pPr>
              <w:spacing w:after="40" w:before="40"/>
            </w:pPr>
            <w:r>
              <w:rPr>
                <w:rFonts w:ascii="Arial" w:cs="Arial" w:eastAsia="Arial" w:hAnsi="Arial"/>
                <w:color w:val="333333"/>
                <w:sz w:val="20"/>
                <w:szCs w:val="20"/>
              </w:rPr>
              <w:t xml:space="preserve">D. Ensuring that every reward element is positioned at or above the 75th market percentile.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Reward effectiveness measurement closes the loop between investment and outcome. Without it, HR cannot demonstrate value, identify underperforming programs, or make the case for investment changes. The metrics chosen should reflect the specific objectives the reward strategy was designed to achieve — whether attraction, retention, engagement, or equity.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unique challenges does Total Rewards design present in a not-for-profit or NGO context?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Not-for-profit organizations are legally exempt from pay equity obligations and therefore face no equity-related challenges.</w:t>
            </w:r>
          </w:p>
          <w:p>
            <w:pPr>
              <w:spacing w:after="40" w:before="40"/>
            </w:pPr>
            <w:r>
              <w:rPr>
                <w:rFonts w:ascii="Arial" w:cs="Arial" w:eastAsia="Arial" w:hAnsi="Arial"/>
                <w:color w:val="333333"/>
                <w:sz w:val="20"/>
                <w:szCs w:val="20"/>
              </w:rPr>
              <w:t xml:space="preserve">B. Not-for-profit organizations are required by law to pay all employees the same salary regardless of role or experience.</w:t>
            </w:r>
          </w:p>
          <w:p>
            <w:pPr>
              <w:spacing w:after="40" w:before="40"/>
            </w:pPr>
            <w:r>
              <w:rPr>
                <w:rFonts w:ascii="Arial" w:cs="Arial" w:eastAsia="Arial" w:hAnsi="Arial"/>
                <w:color w:val="333333"/>
                <w:sz w:val="20"/>
                <w:szCs w:val="20"/>
              </w:rPr>
              <w:t xml:space="preserve">C. Not-for-profit organizations typically face the challenge of competing with the private sector for talent while operating under tighter budget constraints, stricter governance on pay levels (particularly for senior roles), greater public scrutiny of reward decisions, and a workforce that may be motivated partly by mission — requiring reward strategies that leverage non-financial rewards, mission alignment, and career development to compensate for below-market cash pay.</w:t>
            </w:r>
          </w:p>
          <w:p>
            <w:pPr>
              <w:spacing w:after="40" w:before="40"/>
            </w:pPr>
            <w:r>
              <w:rPr>
                <w:rFonts w:ascii="Arial" w:cs="Arial" w:eastAsia="Arial" w:hAnsi="Arial"/>
                <w:color w:val="333333"/>
                <w:sz w:val="20"/>
                <w:szCs w:val="20"/>
              </w:rPr>
              <w:t xml:space="preserve">D. Not-for-profit organizations face no Total Rewards challenges because their employees are volunteers who receive no compensation.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NGO and not-for-profit reward design requires creative use of all five Total Rewards pillars. Strong mission alignment, career development, flexible working, recognition, and exceptional culture can offset below-market pay — but only up to a point. As private sector competition intensifies, many not-for-profits are investing more in evidence-based reward design to retain specialist talent.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'Total Rewards audit' and what does it typically assess?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government inspection of payroll records to verify compliance with minimum wage and tax obligations.</w:t>
            </w:r>
          </w:p>
          <w:p>
            <w:pPr>
              <w:spacing w:after="40" w:before="40"/>
            </w:pPr>
            <w:r>
              <w:rPr>
                <w:rFonts w:ascii="Arial" w:cs="Arial" w:eastAsia="Arial" w:hAnsi="Arial"/>
                <w:color w:val="333333"/>
                <w:sz w:val="20"/>
                <w:szCs w:val="20"/>
              </w:rPr>
              <w:t xml:space="preserve">B. An assessment conducted by external consultants to determine whether reward programs are delivering the highest possible return on investment.</w:t>
            </w:r>
          </w:p>
          <w:p>
            <w:pPr>
              <w:spacing w:after="40" w:before="40"/>
            </w:pPr>
            <w:r>
              <w:rPr>
                <w:rFonts w:ascii="Arial" w:cs="Arial" w:eastAsia="Arial" w:hAnsi="Arial"/>
                <w:color w:val="333333"/>
                <w:sz w:val="20"/>
                <w:szCs w:val="20"/>
              </w:rPr>
              <w:t xml:space="preserve">C. An annual review of the benefits administration system to identify processing errors and compliance gaps.</w:t>
            </w:r>
          </w:p>
          <w:p>
            <w:pPr>
              <w:spacing w:after="40" w:before="40"/>
            </w:pPr>
            <w:r>
              <w:rPr>
                <w:rFonts w:ascii="Arial" w:cs="Arial" w:eastAsia="Arial" w:hAnsi="Arial"/>
                <w:color w:val="333333"/>
                <w:sz w:val="20"/>
                <w:szCs w:val="20"/>
              </w:rPr>
              <w:t xml:space="preserve">D. A structured assessment of the organization's complete reward offering — examining competitiveness against the market, internal equity, alignment with business strategy, program effectiveness, communication quality, governance robustness, and cost efficiency — typically producing a gap analysis and prioritized recommendations for improvement.</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A Total Rewards audit gives organizations a comprehensive picture of where their reward investment is well-directed and where it is not. Unlike point-in-time benchmarking (which assesses competitiveness only), an audit examines the full system — design, governance, communication, and equity — and produces an actionable improvement roadmap.</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concept of 'reward circularity' and why does it matter?</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idea that strong reward programs create engaged employees who perform better, generating business results that fund further reward investment — a virtuous cycle where reward investment and business performance reinforce each other. Conversely, underinvestment in reward leads to disengagement and poor performance, reducing the resources available for future reward investment.</w:t>
            </w:r>
          </w:p>
          <w:p>
            <w:pPr>
              <w:spacing w:after="40" w:before="40"/>
            </w:pPr>
            <w:r>
              <w:rPr>
                <w:rFonts w:ascii="Arial" w:cs="Arial" w:eastAsia="Arial" w:hAnsi="Arial"/>
                <w:color w:val="333333"/>
                <w:sz w:val="20"/>
                <w:szCs w:val="20"/>
              </w:rPr>
              <w:t xml:space="preserve">B. A recycling program where organizations donate unused reward budgets to environmental causes at year-end.</w:t>
            </w:r>
          </w:p>
          <w:p>
            <w:pPr>
              <w:spacing w:after="40" w:before="40"/>
            </w:pPr>
            <w:r>
              <w:rPr>
                <w:rFonts w:ascii="Arial" w:cs="Arial" w:eastAsia="Arial" w:hAnsi="Arial"/>
                <w:color w:val="333333"/>
                <w:sz w:val="20"/>
                <w:szCs w:val="20"/>
              </w:rPr>
              <w:t xml:space="preserve">C. A compensation model where employee pay is calculated as a percentage of the revenue they personally generate.</w:t>
            </w:r>
          </w:p>
          <w:p>
            <w:pPr>
              <w:spacing w:after="40" w:before="40"/>
            </w:pPr>
            <w:r>
              <w:rPr>
                <w:rFonts w:ascii="Arial" w:cs="Arial" w:eastAsia="Arial" w:hAnsi="Arial"/>
                <w:color w:val="333333"/>
                <w:sz w:val="20"/>
                <w:szCs w:val="20"/>
              </w:rPr>
              <w:t xml:space="preserve">D. The practice of rotating employees through different reward roles within the HR team to build broad expertise.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Reward circularity reframes reward investment as a growth driver rather than a cost center. Organizations that invest in reward experience higher engagement, lower turnover, stronger employer brand, and better business performance — all of which generate the returns that fund continued reward investment. The opposite cycle is equally powerful and explains why struggling businesses often enter a talent-cost spiral.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'reward segmentation by employee lifecycle stage' and how does it improve reward relevance?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system that automatically increases pay by a fixed percentage at each anniversary of an employee's start date.</w:t>
            </w:r>
          </w:p>
          <w:p>
            <w:pPr>
              <w:spacing w:after="40" w:before="40"/>
            </w:pPr>
            <w:r>
              <w:rPr>
                <w:rFonts w:ascii="Arial" w:cs="Arial" w:eastAsia="Arial" w:hAnsi="Arial"/>
                <w:color w:val="333333"/>
                <w:sz w:val="20"/>
                <w:szCs w:val="20"/>
              </w:rPr>
              <w:t xml:space="preserve">B. An approach that tailors the emphasis and communication of specific reward elements to what is most relevant and valued by employees at different stages of their career lifecycle — new joiners may prioritize onboarding support and career clarity; mid-career employees may focus on salary growth and family benefits; pre-retirement employees on pension planning and flexibility — ensuring reward feels personally relevant rather than generic.</w:t>
            </w:r>
          </w:p>
          <w:p>
            <w:pPr>
              <w:spacing w:after="40" w:before="40"/>
            </w:pPr>
            <w:r>
              <w:rPr>
                <w:rFonts w:ascii="Arial" w:cs="Arial" w:eastAsia="Arial" w:hAnsi="Arial"/>
                <w:color w:val="333333"/>
                <w:sz w:val="20"/>
                <w:szCs w:val="20"/>
              </w:rPr>
              <w:t xml:space="preserve">C. A policy of offering higher pay to longer-serving employees regardless of role, performance, or market value.</w:t>
            </w:r>
          </w:p>
          <w:p>
            <w:pPr>
              <w:spacing w:after="40" w:before="40"/>
            </w:pPr>
            <w:r>
              <w:rPr>
                <w:rFonts w:ascii="Arial" w:cs="Arial" w:eastAsia="Arial" w:hAnsi="Arial"/>
                <w:color w:val="333333"/>
                <w:sz w:val="20"/>
                <w:szCs w:val="20"/>
              </w:rPr>
              <w:t xml:space="preserve">D. A legal requirement in several jurisdictions to offer different benefits packages based on employee age group.</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Lifecycle-stage segmentation makes reward communication and design more precise and impactful. Rather than communicating everything to everyone, HR can invest in hyper-relevant reward conversations at each stage — dramatically improving perceived value without necessarily increasing cost.</w:t>
            </w:r>
          </w:p>
        </w:tc>
      </w:tr>
    </w:tbl>
    <w:p>
      <w:pPr>
        <w:spacing w:after="200" w:before="0"/>
      </w:pPr>
      <w:r>
        <w:t xml:space="preserve"/>
      </w:r>
    </w:p>
    <w:p>
      <w:r>
        <w:br w:type="page"/>
      </w:r>
    </w:p>
    <w:p>
      <w:pPr>
        <w:shd w:fill="2E7D8C" w:val="clear"/>
        <w:spacing w:after="0" w:before="480"/>
      </w:pPr>
      <w:r>
        <w:rPr>
          <w:rFonts w:ascii="Arial" w:cs="Arial" w:eastAsia="Arial" w:hAnsi="Arial"/>
          <w:b/>
          <w:bCs/>
          <w:color w:val="FFFFFF"/>
          <w:sz w:val="28"/>
          <w:szCs w:val="28"/>
        </w:rPr>
        <w:t xml:space="preserve">  Compensation Design  </w:t>
      </w:r>
    </w:p>
    <w:p>
      <w:pPr>
        <w:shd w:fill="2E7D8C" w:val="clear"/>
        <w:spacing w:after="240" w:before="0"/>
      </w:pPr>
      <w:r>
        <w:rPr>
          <w:rFonts w:ascii="Arial" w:cs="Arial" w:eastAsia="Arial" w:hAnsi="Arial"/>
          <w:color w:val="FFFFFF"/>
          <w:sz w:val="18"/>
          <w:szCs w:val="18"/>
        </w:rPr>
        <w:t xml:space="preserve">  Questions Q7 – Q12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'hybrid pay structure' that combines grade-based and market-based elements?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pay structure that applies to both full-time and part-time employees simultaneously.</w:t>
            </w:r>
          </w:p>
          <w:p>
            <w:pPr>
              <w:spacing w:after="40" w:before="40"/>
            </w:pPr>
            <w:r>
              <w:rPr>
                <w:rFonts w:ascii="Arial" w:cs="Arial" w:eastAsia="Arial" w:hAnsi="Arial"/>
                <w:color w:val="333333"/>
                <w:sz w:val="20"/>
                <w:szCs w:val="20"/>
              </w:rPr>
              <w:t xml:space="preserve">B. A structure used exclusively by organizations that operate in two or more countries with different currencies.</w:t>
            </w:r>
          </w:p>
          <w:p>
            <w:pPr>
              <w:spacing w:after="40" w:before="40"/>
            </w:pPr>
            <w:r>
              <w:rPr>
                <w:rFonts w:ascii="Arial" w:cs="Arial" w:eastAsia="Arial" w:hAnsi="Arial"/>
                <w:color w:val="333333"/>
                <w:sz w:val="20"/>
                <w:szCs w:val="20"/>
              </w:rPr>
              <w:t xml:space="preserve">C. An approach where roles are assigned to a grade through job evaluation (providing internal equity and consistency) but where the salary range for each grade is directly anchored to external market data rather than built on an internal pay policy line — combining the consistency benefit of grading with the precision of market-based pricing, particularly useful for roles that span both standard and specialist market segments.</w:t>
            </w:r>
          </w:p>
          <w:p>
            <w:pPr>
              <w:spacing w:after="40" w:before="40"/>
            </w:pPr>
            <w:r>
              <w:rPr>
                <w:rFonts w:ascii="Arial" w:cs="Arial" w:eastAsia="Arial" w:hAnsi="Arial"/>
                <w:color w:val="333333"/>
                <w:sz w:val="20"/>
                <w:szCs w:val="20"/>
              </w:rPr>
              <w:t xml:space="preserve">D. A compensation model that blends fixed salary with equity awards for all employees regardless of seniority level.</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Hybrid structures address the tension between pure internal grade systems (which may lose touch with market reality) and pure market pricing (which can undermine internal equity). By grading for consistency and market-anchoring ranges for competitiveness, organizations get the benefits of both approaches.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'automatic pay progression' and when is it appropriate?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system where pay increases are automatically applied when an employee makes a formal complaint about their salary.</w:t>
            </w:r>
          </w:p>
          <w:p>
            <w:pPr>
              <w:spacing w:after="40" w:before="40"/>
            </w:pPr>
            <w:r>
              <w:rPr>
                <w:rFonts w:ascii="Arial" w:cs="Arial" w:eastAsia="Arial" w:hAnsi="Arial"/>
                <w:color w:val="333333"/>
                <w:sz w:val="20"/>
                <w:szCs w:val="20"/>
              </w:rPr>
              <w:t xml:space="preserve">B. A model where employee pay increases automatically with tenure, regardless of performance or market movement.</w:t>
            </w:r>
          </w:p>
          <w:p>
            <w:pPr>
              <w:spacing w:after="40" w:before="40"/>
            </w:pPr>
            <w:r>
              <w:rPr>
                <w:rFonts w:ascii="Arial" w:cs="Arial" w:eastAsia="Arial" w:hAnsi="Arial"/>
                <w:color w:val="333333"/>
                <w:sz w:val="20"/>
                <w:szCs w:val="20"/>
              </w:rPr>
              <w:t xml:space="preserve">C. Pay increases that are triggered automatically by completion of defined training qualifications or professional certifications.</w:t>
            </w:r>
          </w:p>
          <w:p>
            <w:pPr>
              <w:spacing w:after="40" w:before="40"/>
            </w:pPr>
            <w:r>
              <w:rPr>
                <w:rFonts w:ascii="Arial" w:cs="Arial" w:eastAsia="Arial" w:hAnsi="Arial"/>
                <w:color w:val="333333"/>
                <w:sz w:val="20"/>
                <w:szCs w:val="20"/>
              </w:rPr>
              <w:t xml:space="preserve">D. A defined system where pay advances through a salary range according to a predetermined schedule — for example, fixed annual increments or steps — typically used in public sector, unionized, or heavily regulated environments where objective consistency, predictability, and equal treatment are prioritized over individual performance differentiation, and where roles are standardized enough to make automatic progression appropriate.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Automatic progression has a specific but important place in reward design. In public sector and unionized environments, its transparency and consistency build trust and avoid the risk of manager bias. However, it limits performance differentiation and can lead to overpayment of underperformers at maximum, requiring supplementary mechanisms to address contribution.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'total cost of employment' (TCE) and how does it differ from total cash compensation?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Total cost of employment captures the full organizational cost of employing an individual — including gross salary, all variable pay, employer social security and payroll tax contributions, employer pension contributions, all benefit premiums, employer-funded insurance, training investment, and HR administration costs. It is significantly higher than total cash and gives finance a complete picture of workforce cost.</w:t>
            </w:r>
          </w:p>
          <w:p>
            <w:pPr>
              <w:spacing w:after="40" w:before="40"/>
            </w:pPr>
            <w:r>
              <w:rPr>
                <w:rFonts w:ascii="Arial" w:cs="Arial" w:eastAsia="Arial" w:hAnsi="Arial"/>
                <w:color w:val="333333"/>
                <w:sz w:val="20"/>
                <w:szCs w:val="20"/>
              </w:rPr>
              <w:t xml:space="preserve">B. Total cost of employment and total cash compensation are identical measures used in different countries.</w:t>
            </w:r>
          </w:p>
          <w:p>
            <w:pPr>
              <w:spacing w:after="40" w:before="40"/>
            </w:pPr>
            <w:r>
              <w:rPr>
                <w:rFonts w:ascii="Arial" w:cs="Arial" w:eastAsia="Arial" w:hAnsi="Arial"/>
                <w:color w:val="333333"/>
                <w:sz w:val="20"/>
                <w:szCs w:val="20"/>
              </w:rPr>
              <w:t xml:space="preserve">C. TCE includes only statutory costs — such as employer National Insurance contributions — and excludes voluntary benefits and pension contributions.</w:t>
            </w:r>
          </w:p>
          <w:p>
            <w:pPr>
              <w:spacing w:after="40" w:before="40"/>
            </w:pPr>
            <w:r>
              <w:rPr>
                <w:rFonts w:ascii="Arial" w:cs="Arial" w:eastAsia="Arial" w:hAnsi="Arial"/>
                <w:color w:val="333333"/>
                <w:sz w:val="20"/>
                <w:szCs w:val="20"/>
              </w:rPr>
              <w:t xml:space="preserve">D. Total cost of employment is a metric used exclusively by the procurement function when hiring contractors and consultants.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Understanding TCE is critical for workforce planning and reward investment decisions. An employee with a $100,000 salary may cost the organization $125,000–$140,000 in total employment cost once employer taxes, pension contributions, and benefits are included. This complete picture is necessary for accurate business case development, role costing, and outsourcing decisions.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 harmonization' program in the context of mergers and acquisitions?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where all employees from both organizations immediately receive identical pay on the closing date of a merger.</w:t>
            </w:r>
          </w:p>
          <w:p>
            <w:pPr>
              <w:spacing w:after="40" w:before="40"/>
            </w:pPr>
            <w:r>
              <w:rPr>
                <w:rFonts w:ascii="Arial" w:cs="Arial" w:eastAsia="Arial" w:hAnsi="Arial"/>
                <w:color w:val="333333"/>
                <w:sz w:val="20"/>
                <w:szCs w:val="20"/>
              </w:rPr>
              <w:t xml:space="preserve">B. A structured program to align the pay structures, grades, ranges, and policies of two or more organizations following a merger or acquisition — typically conducted over 12–36 months, involving job evaluation of all combined roles, market benchmarking, identification of pay gaps and compression issues, and phased adjustment of both above-range and below-range salaries to a common framework, while managing the significant communication and retention challenges this process creates.</w:t>
            </w:r>
          </w:p>
          <w:p>
            <w:pPr>
              <w:spacing w:after="40" w:before="40"/>
            </w:pPr>
            <w:r>
              <w:rPr>
                <w:rFonts w:ascii="Arial" w:cs="Arial" w:eastAsia="Arial" w:hAnsi="Arial"/>
                <w:color w:val="333333"/>
                <w:sz w:val="20"/>
                <w:szCs w:val="20"/>
              </w:rPr>
              <w:t xml:space="preserve">C. A legal requirement mandating that all acquired companies must immediately adopt the acquirer's pay scale.</w:t>
            </w:r>
          </w:p>
          <w:p>
            <w:pPr>
              <w:spacing w:after="40" w:before="40"/>
            </w:pPr>
            <w:r>
              <w:rPr>
                <w:rFonts w:ascii="Arial" w:cs="Arial" w:eastAsia="Arial" w:hAnsi="Arial"/>
                <w:color w:val="333333"/>
                <w:sz w:val="20"/>
                <w:szCs w:val="20"/>
              </w:rPr>
              <w:t xml:space="preserve">D. A process of reducing the pay of all employees in the acquired organization to match the acquirer's lower pay levels.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Pay harmonization is one of the most complex and sensitive aspects of M&amp;A integration. Employees from both organizations will compare pay; inconsistencies create inequity and retention risk. Phased harmonization allows time for job evaluation, budget planning, and communication — but requires careful governance to maintain trust on both sides during the transition.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'broadbanding governance risk' in compensation design?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risk that broad bands will become outdated faster than narrow grades because market data changes more rapidly for wide pay ranges.</w:t>
            </w:r>
          </w:p>
          <w:p>
            <w:pPr>
              <w:spacing w:after="40" w:before="40"/>
            </w:pPr>
            <w:r>
              <w:rPr>
                <w:rFonts w:ascii="Arial" w:cs="Arial" w:eastAsia="Arial" w:hAnsi="Arial"/>
                <w:color w:val="333333"/>
                <w:sz w:val="20"/>
                <w:szCs w:val="20"/>
              </w:rPr>
              <w:t xml:space="preserve">B. The risk that employees in broad bands will always feel underpaid because the ranges are too wide to communicate clearly.</w:t>
            </w:r>
          </w:p>
          <w:p>
            <w:pPr>
              <w:spacing w:after="40" w:before="40"/>
            </w:pPr>
            <w:r>
              <w:rPr>
                <w:rFonts w:ascii="Arial" w:cs="Arial" w:eastAsia="Arial" w:hAnsi="Arial"/>
                <w:color w:val="333333"/>
                <w:sz w:val="20"/>
                <w:szCs w:val="20"/>
              </w:rPr>
              <w:t xml:space="preserve">C. The risk that without strong governance, the flexibility inherent in broad bands — where pay can move significantly within a level — creates inconsistency, compression, and inequity over time as managers exercise different levels of pay generosity, and where the absence of midpoint anchors makes it harder to maintain market competitiveness or identify outlier pay decisions.</w:t>
            </w:r>
          </w:p>
          <w:p>
            <w:pPr>
              <w:spacing w:after="40" w:before="40"/>
            </w:pPr>
            <w:r>
              <w:rPr>
                <w:rFonts w:ascii="Arial" w:cs="Arial" w:eastAsia="Arial" w:hAnsi="Arial"/>
                <w:color w:val="333333"/>
                <w:sz w:val="20"/>
                <w:szCs w:val="20"/>
              </w:rPr>
              <w:t xml:space="preserve">D. The risk that broad bands will attract regulatory scrutiny because they hide pay inequities by grouping too many roles together.</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Broad bands work well when accompanied by robust governance — market reference points within each band, merit increase guidelines that take pay position into account, and regular pay reviews. Without these controls, the flexibility that makes broad bands appealing becomes a governance liability as pay drift and inequity compound over time.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'role-based pay premium' and when is it appropriate in compensation design?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permanent pay increase automatically applied when an employee wins a customer satisfaction award.</w:t>
            </w:r>
          </w:p>
          <w:p>
            <w:pPr>
              <w:spacing w:after="40" w:before="40"/>
            </w:pPr>
            <w:r>
              <w:rPr>
                <w:rFonts w:ascii="Arial" w:cs="Arial" w:eastAsia="Arial" w:hAnsi="Arial"/>
                <w:color w:val="333333"/>
                <w:sz w:val="20"/>
                <w:szCs w:val="20"/>
              </w:rPr>
              <w:t xml:space="preserve">B. An additional payment made to employees who are willing to relocate to a different office location.</w:t>
            </w:r>
          </w:p>
          <w:p>
            <w:pPr>
              <w:spacing w:after="40" w:before="40"/>
            </w:pPr>
            <w:r>
              <w:rPr>
                <w:rFonts w:ascii="Arial" w:cs="Arial" w:eastAsia="Arial" w:hAnsi="Arial"/>
                <w:color w:val="333333"/>
                <w:sz w:val="20"/>
                <w:szCs w:val="20"/>
              </w:rPr>
              <w:t xml:space="preserve">C. An enhanced rate of pay provided to employees who work overnight or weekend shifts as compensation for unsociable hours.</w:t>
            </w:r>
          </w:p>
          <w:p>
            <w:pPr>
              <w:spacing w:after="40" w:before="40"/>
            </w:pPr>
            <w:r>
              <w:rPr>
                <w:rFonts w:ascii="Arial" w:cs="Arial" w:eastAsia="Arial" w:hAnsi="Arial"/>
                <w:color w:val="333333"/>
                <w:sz w:val="20"/>
                <w:szCs w:val="20"/>
              </w:rPr>
              <w:t xml:space="preserve">D. A structured additional compensation element applied to specific roles — typically those requiring scarce technical skills commanding a significant market premium above the standard grade range — that supplements the base grade-based pay to maintain market competitiveness without permanently inflating the grade structure. Role-based premiums are reviewed periodically and removed when market conditions normalize.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Role-based premiums solve the tension between internal equity (maintaining consistent grade structure) and market competitiveness (paying what scarce technical skills demand). Rather than regrading a role upward — which inflates the grade structure and creates internal equity problems — a market supplement keeps the role at its evaluated grade while paying competitively.</w:t>
            </w:r>
          </w:p>
        </w:tc>
      </w:tr>
    </w:tbl>
    <w:p>
      <w:pPr>
        <w:spacing w:after="200" w:before="0"/>
      </w:pPr>
      <w:r>
        <w:t xml:space="preserve"/>
      </w:r>
    </w:p>
    <w:p>
      <w:r>
        <w:br w:type="page"/>
      </w:r>
    </w:p>
    <w:p>
      <w:pPr>
        <w:shd w:fill="B84B4B" w:val="clear"/>
        <w:spacing w:after="0" w:before="480"/>
      </w:pPr>
      <w:r>
        <w:rPr>
          <w:rFonts w:ascii="Arial" w:cs="Arial" w:eastAsia="Arial" w:hAnsi="Arial"/>
          <w:b/>
          <w:bCs/>
          <w:color w:val="FFFFFF"/>
          <w:sz w:val="28"/>
          <w:szCs w:val="28"/>
        </w:rPr>
        <w:t xml:space="preserve">  Pay Equity  </w:t>
      </w:r>
    </w:p>
    <w:p>
      <w:pPr>
        <w:shd w:fill="B84B4B" w:val="clear"/>
        <w:spacing w:after="240" w:before="0"/>
      </w:pPr>
      <w:r>
        <w:rPr>
          <w:rFonts w:ascii="Arial" w:cs="Arial" w:eastAsia="Arial" w:hAnsi="Arial"/>
          <w:color w:val="FFFFFF"/>
          <w:sz w:val="18"/>
          <w:szCs w:val="18"/>
        </w:rPr>
        <w:t xml:space="preserve">  Questions Q13 – Q18</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'pay equity in recruitment' and why is it a critical intervention point?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practice of structuring job offers based on defined salary ranges and role value rather than candidate salary history or negotiation power — ensuring that the hiring process does not import or amplify existing market inequities. It is the most powerful point at which to prevent pay gaps from forming, because gaps created at hire tend to persist and compound through subsequent merit cycles.</w:t>
            </w:r>
          </w:p>
          <w:p>
            <w:pPr>
              <w:spacing w:after="40" w:before="40"/>
            </w:pPr>
            <w:r>
              <w:rPr>
                <w:rFonts w:ascii="Arial" w:cs="Arial" w:eastAsia="Arial" w:hAnsi="Arial"/>
                <w:color w:val="333333"/>
                <w:sz w:val="20"/>
                <w:szCs w:val="20"/>
              </w:rPr>
              <w:t xml:space="preserve">B. A legal requirement to offer the same starting salary to all candidates regardless of experience or qualifications.</w:t>
            </w:r>
          </w:p>
          <w:p>
            <w:pPr>
              <w:spacing w:after="40" w:before="40"/>
            </w:pPr>
            <w:r>
              <w:rPr>
                <w:rFonts w:ascii="Arial" w:cs="Arial" w:eastAsia="Arial" w:hAnsi="Arial"/>
                <w:color w:val="333333"/>
                <w:sz w:val="20"/>
                <w:szCs w:val="20"/>
              </w:rPr>
              <w:t xml:space="preserve">C. A process of comparing candidate salaries against each other before making any offer decisions.</w:t>
            </w:r>
          </w:p>
          <w:p>
            <w:pPr>
              <w:spacing w:after="40" w:before="40"/>
            </w:pPr>
            <w:r>
              <w:rPr>
                <w:rFonts w:ascii="Arial" w:cs="Arial" w:eastAsia="Arial" w:hAnsi="Arial"/>
                <w:color w:val="333333"/>
                <w:sz w:val="20"/>
                <w:szCs w:val="20"/>
              </w:rPr>
              <w:t xml:space="preserve">D. The practice of advertising different salary ranges for the same role depending on the seniority of the hiring manager.</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Recruitment is the most leveraged intervention point for pay equity. Once a pay gap is created at hire, it requires years of targeted merit investment to close. Structured offer processes — anchored to role value and salary ranges, independent of candidate history or negotiation pressure — prevent gaps at source rather than requiring costly retrospective correction.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a 'narrative pay gap report' typically contain beyond the headline statistics?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Detailed individual salary information for every employee grouped by demographic category.</w:t>
            </w:r>
          </w:p>
          <w:p>
            <w:pPr>
              <w:spacing w:after="40" w:before="40"/>
            </w:pPr>
            <w:r>
              <w:rPr>
                <w:rFonts w:ascii="Arial" w:cs="Arial" w:eastAsia="Arial" w:hAnsi="Arial"/>
                <w:color w:val="333333"/>
                <w:sz w:val="20"/>
                <w:szCs w:val="20"/>
              </w:rPr>
              <w:t xml:space="preserve">B. Contextual explanation of what drives the organization's pay gap figures — including the role of occupational segregation, workforce composition at different levels, actions being taken to address root causes, progress against previous years' targets, and forward-looking commitments — providing stakeholders with a complete picture rather than just headline percentages that may be misinterpreted without context.</w:t>
            </w:r>
          </w:p>
          <w:p>
            <w:pPr>
              <w:spacing w:after="40" w:before="40"/>
            </w:pPr>
            <w:r>
              <w:rPr>
                <w:rFonts w:ascii="Arial" w:cs="Arial" w:eastAsia="Arial" w:hAnsi="Arial"/>
                <w:color w:val="333333"/>
                <w:sz w:val="20"/>
                <w:szCs w:val="20"/>
              </w:rPr>
              <w:t xml:space="preserve">C. A legal affidavit signed by the CEO confirming that the organization has never discriminated in pay decisions.</w:t>
            </w:r>
          </w:p>
          <w:p>
            <w:pPr>
              <w:spacing w:after="40" w:before="40"/>
            </w:pPr>
            <w:r>
              <w:rPr>
                <w:rFonts w:ascii="Arial" w:cs="Arial" w:eastAsia="Arial" w:hAnsi="Arial"/>
                <w:color w:val="333333"/>
                <w:sz w:val="20"/>
                <w:szCs w:val="20"/>
              </w:rPr>
              <w:t xml:space="preserve">D. A comparison of the organization's pay gap against every competitor in the same industry sector.</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Narrative reporting transforms pay gap disclosure from a compliance exercise into a trust-building communication. Raw statistics — particularly large unadjusted gaps — can mislead without context. Explaining what drives the gap (e.g., underrepresentation of women in senior technical roles rather than within-grade pay differences) and what the organization is doing about it creates credibility and accountability.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'ethnicity pay gap reporting' and how does it differ from gender pay gap reporting?</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Ethnicity pay gap reporting is legally mandatory in all countries; gender pay gap reporting is voluntary.</w:t>
            </w:r>
          </w:p>
          <w:p>
            <w:pPr>
              <w:spacing w:after="40" w:before="40"/>
            </w:pPr>
            <w:r>
              <w:rPr>
                <w:rFonts w:ascii="Arial" w:cs="Arial" w:eastAsia="Arial" w:hAnsi="Arial"/>
                <w:color w:val="333333"/>
                <w:sz w:val="20"/>
                <w:szCs w:val="20"/>
              </w:rPr>
              <w:t xml:space="preserve">B. Ethnicity pay gap reporting uses different statistical methods from gender pay gap reporting, making the two figures incomparable.</w:t>
            </w:r>
          </w:p>
          <w:p>
            <w:pPr>
              <w:spacing w:after="40" w:before="40"/>
            </w:pPr>
            <w:r>
              <w:rPr>
                <w:rFonts w:ascii="Arial" w:cs="Arial" w:eastAsia="Arial" w:hAnsi="Arial"/>
                <w:color w:val="333333"/>
                <w:sz w:val="20"/>
                <w:szCs w:val="20"/>
              </w:rPr>
              <w:t xml:space="preserve">C. Ethnicity pay gap reporting compares median and mean pay between employees of different ethnic backgrounds, following similar methodology to gender pay gap reporting but facing additional complexity around data collection — including lower voluntary self-identification rates, greater ethnic category diversity, intersectional effects, and varying legal frameworks around collecting ethnicity data across different jurisdictions.</w:t>
            </w:r>
          </w:p>
          <w:p>
            <w:pPr>
              <w:spacing w:after="40" w:before="40"/>
            </w:pPr>
            <w:r>
              <w:rPr>
                <w:rFonts w:ascii="Arial" w:cs="Arial" w:eastAsia="Arial" w:hAnsi="Arial"/>
                <w:color w:val="333333"/>
                <w:sz w:val="20"/>
                <w:szCs w:val="20"/>
              </w:rPr>
              <w:t xml:space="preserve">D. Ethnicity pay gap reporting only applies to organizations with more than 10,000 employees and is not relevant to smaller businesses.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Ethnicity pay gap reporting is more complex than gender gap reporting for several reasons: ethnic categories are more numerous and varied, self-identification rates are lower (making data less complete), legal frameworks for collecting ethnicity data vary internationally, and intersectional effects (e.g., gender × ethnicity) require more sophisticated analysis. Despite the complexity, it is increasingly expected by investors, employees, and regulators.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'pay equity training program for managers' and what should it cover?</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course teaching managers how to negotiate salary reductions for employees who are paid above market.</w:t>
            </w:r>
          </w:p>
          <w:p>
            <w:pPr>
              <w:spacing w:after="40" w:before="40"/>
            </w:pPr>
            <w:r>
              <w:rPr>
                <w:rFonts w:ascii="Arial" w:cs="Arial" w:eastAsia="Arial" w:hAnsi="Arial"/>
                <w:color w:val="333333"/>
                <w:sz w:val="20"/>
                <w:szCs w:val="20"/>
              </w:rPr>
              <w:t xml:space="preserve">B. A technical certification program qualifying managers to conduct statistical pay gap analyses independently.</w:t>
            </w:r>
          </w:p>
          <w:p>
            <w:pPr>
              <w:spacing w:after="40" w:before="40"/>
            </w:pPr>
            <w:r>
              <w:rPr>
                <w:rFonts w:ascii="Arial" w:cs="Arial" w:eastAsia="Arial" w:hAnsi="Arial"/>
                <w:color w:val="333333"/>
                <w:sz w:val="20"/>
                <w:szCs w:val="20"/>
              </w:rPr>
              <w:t xml:space="preserve">C. A legal compliance course covering minimum wage legislation applicable in the organization's operating countries.</w:t>
            </w:r>
          </w:p>
          <w:p>
            <w:pPr>
              <w:spacing w:after="40" w:before="40"/>
            </w:pPr>
            <w:r>
              <w:rPr>
                <w:rFonts w:ascii="Arial" w:cs="Arial" w:eastAsia="Arial" w:hAnsi="Arial"/>
                <w:color w:val="333333"/>
                <w:sz w:val="20"/>
                <w:szCs w:val="20"/>
              </w:rPr>
              <w:t xml:space="preserve">D. A structured program equipping managers with the knowledge and skills to make pay decisions that support rather than undermine equity — including understanding how salary ranges work, how to use merit guidelines consistently, how to conduct fair performance assessments, how to discuss pay transparently with employees, how to identify and escalate potential equity concerns, and how to make offer decisions within defined range guidelines rather than based on candidate negotiation.</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Managers are the primary mechanism through which pay equity policies are implemented or undermined. Without training, even well-designed governance frameworks fail at execution — managers default to intuition, negotiation, and personal bias. Training converts governance intent into consistent day-to-day behavior across the organization.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relationship between performance rating distributions and pay equity?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If performance ratings are systematically distributed differently across demographic groups — for example, if women or ethnic minorities receive lower ratings on average despite equivalent objective output — and those ratings then drive merit increases and promotion decisions, the performance management process becomes a mechanism for perpetuating rather than correcting pay inequity. Equitable pay requires both equitable pay decisions and equitable performance assessment.</w:t>
            </w:r>
          </w:p>
          <w:p>
            <w:pPr>
              <w:spacing w:after="40" w:before="40"/>
            </w:pPr>
            <w:r>
              <w:rPr>
                <w:rFonts w:ascii="Arial" w:cs="Arial" w:eastAsia="Arial" w:hAnsi="Arial"/>
                <w:color w:val="333333"/>
                <w:sz w:val="20"/>
                <w:szCs w:val="20"/>
              </w:rPr>
              <w:t xml:space="preserve">B. Performance ratings and pay equity are entirely separate concerns that should be analyzed independently without any connection.</w:t>
            </w:r>
          </w:p>
          <w:p>
            <w:pPr>
              <w:spacing w:after="40" w:before="40"/>
            </w:pPr>
            <w:r>
              <w:rPr>
                <w:rFonts w:ascii="Arial" w:cs="Arial" w:eastAsia="Arial" w:hAnsi="Arial"/>
                <w:color w:val="333333"/>
                <w:sz w:val="20"/>
                <w:szCs w:val="20"/>
              </w:rPr>
              <w:t xml:space="preserve">C. Pay equity is only relevant in organizations that do not use performance ratings to differentiate pay outcomes.</w:t>
            </w:r>
          </w:p>
          <w:p>
            <w:pPr>
              <w:spacing w:after="40" w:before="40"/>
            </w:pPr>
            <w:r>
              <w:rPr>
                <w:rFonts w:ascii="Arial" w:cs="Arial" w:eastAsia="Arial" w:hAnsi="Arial"/>
                <w:color w:val="333333"/>
                <w:sz w:val="20"/>
                <w:szCs w:val="20"/>
              </w:rPr>
              <w:t xml:space="preserve">D. Higher-rated employees should always receive above-market pay, making performance ratings irrelevant to pay equity analysis.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Performance management and pay equity are deeply interconnected. If certain groups receive systematically lower ratings — due to unconscious bias, different standards of assessment, or structural disadvantages — and pay then flows from those ratings, the pay system amplifies rather than corrects the bias in performance management. Pay equity analysis must therefore examine performance rating distributions, not just pay outcomes.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'pay equity risk register' and how does it support governance?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document listing all current pay discrimination claims filed against the organization.</w:t>
            </w:r>
          </w:p>
          <w:p>
            <w:pPr>
              <w:spacing w:after="40" w:before="40"/>
            </w:pPr>
            <w:r>
              <w:rPr>
                <w:rFonts w:ascii="Arial" w:cs="Arial" w:eastAsia="Arial" w:hAnsi="Arial"/>
                <w:color w:val="333333"/>
                <w:sz w:val="20"/>
                <w:szCs w:val="20"/>
              </w:rPr>
              <w:t xml:space="preserve">B. A governance tool that identifies and tracks the specific processes, decisions, and structural features within the organization that present the highest risk of creating or perpetuating pay inequity — such as negotiation-based offers, discretionary bonus allocation, informal promotion decisions, or departments with limited HR oversight — enabling targeted risk mitigation and prioritization of governance investment.</w:t>
            </w:r>
          </w:p>
          <w:p>
            <w:pPr>
              <w:spacing w:after="40" w:before="40"/>
            </w:pPr>
            <w:r>
              <w:rPr>
                <w:rFonts w:ascii="Arial" w:cs="Arial" w:eastAsia="Arial" w:hAnsi="Arial"/>
                <w:color w:val="333333"/>
                <w:sz w:val="20"/>
                <w:szCs w:val="20"/>
              </w:rPr>
              <w:t xml:space="preserve">C. A register of all employees who have raised pay-related grievances in the past five years.</w:t>
            </w:r>
          </w:p>
          <w:p>
            <w:pPr>
              <w:spacing w:after="40" w:before="40"/>
            </w:pPr>
            <w:r>
              <w:rPr>
                <w:rFonts w:ascii="Arial" w:cs="Arial" w:eastAsia="Arial" w:hAnsi="Arial"/>
                <w:color w:val="333333"/>
                <w:sz w:val="20"/>
                <w:szCs w:val="20"/>
              </w:rPr>
              <w:t xml:space="preserve">D. A database tracking every salary change made in the organization over the past decade for audit purposes.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A pay equity risk register applies enterprise risk management thinking to compensation governance. By identifying and rating the specific risk sources — high-probability, high-impact processes or environments where inequity is most likely to develop — HR can prioritize where to invest governance controls rather than applying uniform oversight to all processes.</w:t>
            </w:r>
          </w:p>
        </w:tc>
      </w:tr>
    </w:tbl>
    <w:p>
      <w:pPr>
        <w:spacing w:after="200" w:before="0"/>
      </w:pPr>
      <w:r>
        <w:t xml:space="preserve"/>
      </w:r>
    </w:p>
    <w:p>
      <w:r>
        <w:br w:type="page"/>
      </w:r>
    </w:p>
    <w:p>
      <w:pPr>
        <w:shd w:fill="6B4C9A" w:val="clear"/>
        <w:spacing w:after="0" w:before="480"/>
      </w:pPr>
      <w:r>
        <w:rPr>
          <w:rFonts w:ascii="Arial" w:cs="Arial" w:eastAsia="Arial" w:hAnsi="Arial"/>
          <w:b/>
          <w:bCs/>
          <w:color w:val="FFFFFF"/>
          <w:sz w:val="28"/>
          <w:szCs w:val="28"/>
        </w:rPr>
        <w:t xml:space="preserve">  Job Evaluation &amp; Market Pricing  </w:t>
      </w:r>
    </w:p>
    <w:p>
      <w:pPr>
        <w:shd w:fill="6B4C9A" w:val="clear"/>
        <w:spacing w:after="240" w:before="0"/>
      </w:pPr>
      <w:r>
        <w:rPr>
          <w:rFonts w:ascii="Arial" w:cs="Arial" w:eastAsia="Arial" w:hAnsi="Arial"/>
          <w:color w:val="FFFFFF"/>
          <w:sz w:val="18"/>
          <w:szCs w:val="18"/>
        </w:rPr>
        <w:t xml:space="preserve">  Questions Q19 – Q24</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approach to job evaluation is most appropriate for an early-stage start-up?</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full point-factor evaluation system with a trained panel evaluating every role against eight defined compensable factors.</w:t>
            </w:r>
          </w:p>
          <w:p>
            <w:pPr>
              <w:spacing w:after="40" w:before="40"/>
            </w:pPr>
            <w:r>
              <w:rPr>
                <w:rFonts w:ascii="Arial" w:cs="Arial" w:eastAsia="Arial" w:hAnsi="Arial"/>
                <w:color w:val="333333"/>
                <w:sz w:val="20"/>
                <w:szCs w:val="20"/>
              </w:rPr>
              <w:t xml:space="preserve">B. A formal classification scheme with 12 predefined grade levels, each with detailed written descriptors.</w:t>
            </w:r>
          </w:p>
          <w:p>
            <w:pPr>
              <w:spacing w:after="40" w:before="40"/>
            </w:pPr>
            <w:r>
              <w:rPr>
                <w:rFonts w:ascii="Arial" w:cs="Arial" w:eastAsia="Arial" w:hAnsi="Arial"/>
                <w:color w:val="333333"/>
                <w:sz w:val="20"/>
                <w:szCs w:val="20"/>
              </w:rPr>
              <w:t xml:space="preserve">C. A simple, lightweight approach — typically whole-job ranking or a condensed classification framework with 4–6 levels — that provides enough structure for consistent pay decisions without requiring the significant time, expertise, and administration a full point-factor system demands. As the organization scales, the framework can be enhanced progressively.</w:t>
            </w:r>
          </w:p>
          <w:p>
            <w:pPr>
              <w:spacing w:after="40" w:before="40"/>
            </w:pPr>
            <w:r>
              <w:rPr>
                <w:rFonts w:ascii="Arial" w:cs="Arial" w:eastAsia="Arial" w:hAnsi="Arial"/>
                <w:color w:val="333333"/>
                <w:sz w:val="20"/>
                <w:szCs w:val="20"/>
              </w:rPr>
              <w:t xml:space="preserve">D. Delegating all grading decisions to the CEO on a case-by-case basis without any formal evaluation framework.</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Job evaluation must be proportionate to organizational maturity and complexity. A 10-person start-up implementing a Hay-style point-factor system would be over-engineering. A lightweight framework provides the consistency needed for early-stage fairness while remaining manageable. The key is building in a natural upgrade path as headcount and complexity grow.</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'market pricing for niche or unique roles' and what challenges does it present?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Pricing roles that are found only in niche industries but have well-established market comparators in specialist surveys.</w:t>
            </w:r>
          </w:p>
          <w:p>
            <w:pPr>
              <w:spacing w:after="40" w:before="40"/>
            </w:pPr>
            <w:r>
              <w:rPr>
                <w:rFonts w:ascii="Arial" w:cs="Arial" w:eastAsia="Arial" w:hAnsi="Arial"/>
                <w:color w:val="333333"/>
                <w:sz w:val="20"/>
                <w:szCs w:val="20"/>
              </w:rPr>
              <w:t xml:space="preserve">B. Setting pay for roles that are identical to senior leadership positions but are given unique job titles for branding purposes.</w:t>
            </w:r>
          </w:p>
          <w:p>
            <w:pPr>
              <w:spacing w:after="40" w:before="40"/>
            </w:pPr>
            <w:r>
              <w:rPr>
                <w:rFonts w:ascii="Arial" w:cs="Arial" w:eastAsia="Arial" w:hAnsi="Arial"/>
                <w:color w:val="333333"/>
                <w:sz w:val="20"/>
                <w:szCs w:val="20"/>
              </w:rPr>
              <w:t xml:space="preserve">C. Benchmarking roles that exist in fewer than five organizations globally, making market data irrelevant.</w:t>
            </w:r>
          </w:p>
          <w:p>
            <w:pPr>
              <w:spacing w:after="40" w:before="40"/>
            </w:pPr>
            <w:r>
              <w:rPr>
                <w:rFonts w:ascii="Arial" w:cs="Arial" w:eastAsia="Arial" w:hAnsi="Arial"/>
                <w:color w:val="333333"/>
                <w:sz w:val="20"/>
                <w:szCs w:val="20"/>
              </w:rPr>
              <w:t xml:space="preserve">D. The challenge of establishing market pay for roles that are sufficiently specific, novel, or hybrid that no standard survey benchmark directly matches — requiring practitioners to use a combination of closest-match survey jobs, functional decomposition (pricing the component skills separately and weighting them), specialist niche surveys, direct market intelligence from recruiters, and judgment to triangulate a reasonable market reference.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Niche role pricing requires creativity and transparency about methodology. A Chief AI Ethics Officer has no established benchmark; a pricing approach might weight AI expertise (70%), ethics/legal expertise (20%), and leadership responsibility (10%) using separate benchmarks for each component. Documenting the methodology is as important as the number itself.</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'internal job title alignment' and why does it matter for market pricing?</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process of ensuring that internal job titles are consistent with how equivalent roles are described in salary surveys and the external market — so that job matching is accurate, employees can be hired from and move to the market without confusion about seniority, and the organization's talent brand communicates appropriate level expectations. Misaligned titles (e.g., 'Director' for a mid-level role) can distort both market pricing and candidate expectations.</w:t>
            </w:r>
          </w:p>
          <w:p>
            <w:pPr>
              <w:spacing w:after="40" w:before="40"/>
            </w:pPr>
            <w:r>
              <w:rPr>
                <w:rFonts w:ascii="Arial" w:cs="Arial" w:eastAsia="Arial" w:hAnsi="Arial"/>
                <w:color w:val="333333"/>
                <w:sz w:val="20"/>
                <w:szCs w:val="20"/>
              </w:rPr>
              <w:t xml:space="preserve">B. A requirement that all employees in the same job family must have identical titles regardless of their experience level.</w:t>
            </w:r>
          </w:p>
          <w:p>
            <w:pPr>
              <w:spacing w:after="40" w:before="40"/>
            </w:pPr>
            <w:r>
              <w:rPr>
                <w:rFonts w:ascii="Arial" w:cs="Arial" w:eastAsia="Arial" w:hAnsi="Arial"/>
                <w:color w:val="333333"/>
                <w:sz w:val="20"/>
                <w:szCs w:val="20"/>
              </w:rPr>
              <w:t xml:space="preserve">C. A process of renaming all internal roles to match the most common title used in the industry regardless of actual responsibilities.</w:t>
            </w:r>
          </w:p>
          <w:p>
            <w:pPr>
              <w:spacing w:after="40" w:before="40"/>
            </w:pPr>
            <w:r>
              <w:rPr>
                <w:rFonts w:ascii="Arial" w:cs="Arial" w:eastAsia="Arial" w:hAnsi="Arial"/>
                <w:color w:val="333333"/>
                <w:sz w:val="20"/>
                <w:szCs w:val="20"/>
              </w:rPr>
              <w:t xml:space="preserve">D. A legal obligation for organizations to register all job titles with a government employment authority.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Title inflation — where junior roles carry senior titles — is common and creates multiple problems: market pricing data is pulled from the wrong survey level, candidates apply with inappropriate experience expectations, and leavers struggle to find equivalent external roles. Disciplined title alignment, connected to the job evaluation grade, prevents these downstream complications.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'job evaluation moderating session' and what is its purpose?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session where employees can appeal their job evaluation outcome directly to the CEO.</w:t>
            </w:r>
          </w:p>
          <w:p>
            <w:pPr>
              <w:spacing w:after="40" w:before="40"/>
            </w:pPr>
            <w:r>
              <w:rPr>
                <w:rFonts w:ascii="Arial" w:cs="Arial" w:eastAsia="Arial" w:hAnsi="Arial"/>
                <w:color w:val="333333"/>
                <w:sz w:val="20"/>
                <w:szCs w:val="20"/>
              </w:rPr>
              <w:t xml:space="preserve">B. A calibration meeting — typically involving the job evaluation panel, HR, and relevant business leaders — where individual role evaluations are reviewed collectively to ensure consistency across functions, grades, and evaluators, correcting for potential bias or inconsistency in how factors were applied, and ensuring that roles of genuinely similar size and complexity receive comparable grade outcomes regardless of who evaluated them.</w:t>
            </w:r>
          </w:p>
          <w:p>
            <w:pPr>
              <w:spacing w:after="40" w:before="40"/>
            </w:pPr>
            <w:r>
              <w:rPr>
                <w:rFonts w:ascii="Arial" w:cs="Arial" w:eastAsia="Arial" w:hAnsi="Arial"/>
                <w:color w:val="333333"/>
                <w:sz w:val="20"/>
                <w:szCs w:val="20"/>
              </w:rPr>
              <w:t xml:space="preserve">C. A training session for new managers explaining how the salary structure works.</w:t>
            </w:r>
          </w:p>
          <w:p>
            <w:pPr>
              <w:spacing w:after="40" w:before="40"/>
            </w:pPr>
            <w:r>
              <w:rPr>
                <w:rFonts w:ascii="Arial" w:cs="Arial" w:eastAsia="Arial" w:hAnsi="Arial"/>
                <w:color w:val="333333"/>
                <w:sz w:val="20"/>
                <w:szCs w:val="20"/>
              </w:rPr>
              <w:t xml:space="preserve">D. A quarterly meeting where the remuneration committee reviews all job evaluation decisions made in the previous period.</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Moderation is essential for evaluation quality. Without it, different evaluators or panels may apply factors differently — resulting in the same type of role being graded differently across divisions, or in grade outcomes reflecting evaluator generosity rather than genuine role size differences. Moderation restores consistency and builds organizational confidence in the system.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'global versus local job evaluation' and what tensions does it create?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Using different job evaluation systems in head office versus field offices within the same country.</w:t>
            </w:r>
          </w:p>
          <w:p>
            <w:pPr>
              <w:spacing w:after="40" w:before="40"/>
            </w:pPr>
            <w:r>
              <w:rPr>
                <w:rFonts w:ascii="Arial" w:cs="Arial" w:eastAsia="Arial" w:hAnsi="Arial"/>
                <w:color w:val="333333"/>
                <w:sz w:val="20"/>
                <w:szCs w:val="20"/>
              </w:rPr>
              <w:t xml:space="preserve">B. Applying the same salary survey data globally rather than using locally sourced market data in each country.</w:t>
            </w:r>
          </w:p>
          <w:p>
            <w:pPr>
              <w:spacing w:after="40" w:before="40"/>
            </w:pPr>
            <w:r>
              <w:rPr>
                <w:rFonts w:ascii="Arial" w:cs="Arial" w:eastAsia="Arial" w:hAnsi="Arial"/>
                <w:color w:val="333333"/>
                <w:sz w:val="20"/>
                <w:szCs w:val="20"/>
              </w:rPr>
              <w:t xml:space="preserve">C. The tension between applying a single global job evaluation framework consistently across all countries (providing comparability, enabling international transfers, and supporting a unified pay philosophy) versus adapting evaluation criteria to reflect genuinely different role content, market context, or legal requirements in specific markets — requiring organizations to decide where global consistency serves equity and where local adaptation better reflects reality.</w:t>
            </w:r>
          </w:p>
          <w:p>
            <w:pPr>
              <w:spacing w:after="40" w:before="40"/>
            </w:pPr>
            <w:r>
              <w:rPr>
                <w:rFonts w:ascii="Arial" w:cs="Arial" w:eastAsia="Arial" w:hAnsi="Arial"/>
                <w:color w:val="333333"/>
                <w:sz w:val="20"/>
                <w:szCs w:val="20"/>
              </w:rPr>
              <w:t xml:space="preserve">D. Evaluating roles in local currencies rather than a single global benchmark currency.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Global job evaluation frameworks enable international career mobility and consistent benchmarking — significant advantages for multinational organizations. But they require careful calibration across markets: a role that is a senior leadership position in a small market may score the same as a mid-level role in a large headquarters market, even though the local importance and leadership challenge differs significantly.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'role profile library' and how does it support job evaluation governance?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database of all external salary survey jobs used for market pricing, maintained by the compensation team.</w:t>
            </w:r>
          </w:p>
          <w:p>
            <w:pPr>
              <w:spacing w:after="40" w:before="40"/>
            </w:pPr>
            <w:r>
              <w:rPr>
                <w:rFonts w:ascii="Arial" w:cs="Arial" w:eastAsia="Arial" w:hAnsi="Arial"/>
                <w:color w:val="333333"/>
                <w:sz w:val="20"/>
                <w:szCs w:val="20"/>
              </w:rPr>
              <w:t xml:space="preserve">B. A collection of historical job descriptions archived for legal compliance purposes.</w:t>
            </w:r>
          </w:p>
          <w:p>
            <w:pPr>
              <w:spacing w:after="40" w:before="40"/>
            </w:pPr>
            <w:r>
              <w:rPr>
                <w:rFonts w:ascii="Arial" w:cs="Arial" w:eastAsia="Arial" w:hAnsi="Arial"/>
                <w:color w:val="333333"/>
                <w:sz w:val="20"/>
                <w:szCs w:val="20"/>
              </w:rPr>
              <w:t xml:space="preserve">C. A reference library of performance objectives used to set individual employee targets each year.</w:t>
            </w:r>
          </w:p>
          <w:p>
            <w:pPr>
              <w:spacing w:after="40" w:before="40"/>
            </w:pPr>
            <w:r>
              <w:rPr>
                <w:rFonts w:ascii="Arial" w:cs="Arial" w:eastAsia="Arial" w:hAnsi="Arial"/>
                <w:color w:val="333333"/>
                <w:sz w:val="20"/>
                <w:szCs w:val="20"/>
              </w:rPr>
              <w:t xml:space="preserve">D. A centrally maintained repository of standardized, evaluated role profiles for all grades and job families — enabling consistent job matching for new or changed roles by comparing them against evaluated benchmarks, reducing the need for individual evaluation of every new role from scratch, supporting faster and more consistent grading decisions, and providing a reference point for managers when creating or updating job descriptions.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A role profile library transforms job evaluation from a resource-intensive bespoke process into an efficient matching exercise for standard roles. Instead of evaluating every new hire's role from scratch, HR matches it against the nearest library profile. Only genuinely novel or significantly changed roles require full panel evaluation — dramatically increasing efficiency.</w:t>
            </w:r>
          </w:p>
        </w:tc>
      </w:tr>
    </w:tbl>
    <w:p>
      <w:pPr>
        <w:spacing w:after="200" w:before="0"/>
      </w:pPr>
      <w:r>
        <w:t xml:space="preserve"/>
      </w:r>
    </w:p>
    <w:p>
      <w:r>
        <w:br w:type="page"/>
      </w:r>
    </w:p>
    <w:p>
      <w:pPr>
        <w:shd w:fill="3A7D44" w:val="clear"/>
        <w:spacing w:after="0" w:before="480"/>
      </w:pPr>
      <w:r>
        <w:rPr>
          <w:rFonts w:ascii="Arial" w:cs="Arial" w:eastAsia="Arial" w:hAnsi="Arial"/>
          <w:b/>
          <w:bCs/>
          <w:color w:val="FFFFFF"/>
          <w:sz w:val="28"/>
          <w:szCs w:val="28"/>
        </w:rPr>
        <w:t xml:space="preserve">  Benefits &amp; Wellbeing  </w:t>
      </w:r>
    </w:p>
    <w:p>
      <w:pPr>
        <w:shd w:fill="3A7D44" w:val="clear"/>
        <w:spacing w:after="240" w:before="0"/>
      </w:pPr>
      <w:r>
        <w:rPr>
          <w:rFonts w:ascii="Arial" w:cs="Arial" w:eastAsia="Arial" w:hAnsi="Arial"/>
          <w:color w:val="FFFFFF"/>
          <w:sz w:val="18"/>
          <w:szCs w:val="18"/>
        </w:rPr>
        <w:t xml:space="preserve">  Questions Q25 – Q30</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25</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'mental health strategy' in Total Rewards and how does it go beyond an EAP?</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comprehensive organizational approach to employee mental health that integrates multiple layers: preventative measures (workload management, psychological safety, manager training), early intervention (mental health first aiders, peer support), clinical support (EAP counseling, health insurance coverage for mental health treatment), and broader cultural signals (leadership modeling, reducing stigma, flexible working) — recognizing that mental health is shaped by the total work environment, not just access to a counseling helpline.</w:t>
            </w:r>
          </w:p>
          <w:p>
            <w:pPr>
              <w:spacing w:after="40" w:before="40"/>
            </w:pPr>
            <w:r>
              <w:rPr>
                <w:rFonts w:ascii="Arial" w:cs="Arial" w:eastAsia="Arial" w:hAnsi="Arial"/>
                <w:color w:val="333333"/>
                <w:sz w:val="20"/>
                <w:szCs w:val="20"/>
              </w:rPr>
              <w:t xml:space="preserve">B. A legal compliance program ensuring the organization meets minimum statutory mental health support obligations.</w:t>
            </w:r>
          </w:p>
          <w:p>
            <w:pPr>
              <w:spacing w:after="40" w:before="40"/>
            </w:pPr>
            <w:r>
              <w:rPr>
                <w:rFonts w:ascii="Arial" w:cs="Arial" w:eastAsia="Arial" w:hAnsi="Arial"/>
                <w:color w:val="333333"/>
                <w:sz w:val="20"/>
                <w:szCs w:val="20"/>
              </w:rPr>
              <w:t xml:space="preserve">C. A program that monitors employee social media activity to identify early signs of mental health difficulties.</w:t>
            </w:r>
          </w:p>
          <w:p>
            <w:pPr>
              <w:spacing w:after="40" w:before="40"/>
            </w:pPr>
            <w:r>
              <w:rPr>
                <w:rFonts w:ascii="Arial" w:cs="Arial" w:eastAsia="Arial" w:hAnsi="Arial"/>
                <w:color w:val="333333"/>
                <w:sz w:val="20"/>
                <w:szCs w:val="20"/>
              </w:rPr>
              <w:t xml:space="preserve">D. A mental health insurance product that replaces the need for any other wellbeing benefits or organizational interventions.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An EAP is a necessary but insufficient mental health strategy. Research shows that most mental health difficulties in the workplace are caused or exacerbated by work factors — overload, poor management, lack of autonomy, harassment, or insecurity. Addressing these upstream causes through cultural and structural interventions delivers far greater impact than access to post-crisis counseling alone.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26</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'wellbeing ROI measurement' and what metrics are most commonly used?</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calculation of how much money the organization spends on each individual employee's wellbeing programs.</w:t>
            </w:r>
          </w:p>
          <w:p>
            <w:pPr>
              <w:spacing w:after="40" w:before="40"/>
            </w:pPr>
            <w:r>
              <w:rPr>
                <w:rFonts w:ascii="Arial" w:cs="Arial" w:eastAsia="Arial" w:hAnsi="Arial"/>
                <w:color w:val="333333"/>
                <w:sz w:val="20"/>
                <w:szCs w:val="20"/>
              </w:rPr>
              <w:t xml:space="preserve">B. A measurement framework that estimates the business return generated by wellbeing investments — typically by tracking metrics such as reduced absenteeism rates, lower presenteeism (being at work but not fully productive due to health issues), reduced short-term disability claim frequency, improved engagement scores, reduced turnover in high-stress functions, and lower healthcare claim costs — and comparing these to the investment in wellbeing programs.</w:t>
            </w:r>
          </w:p>
          <w:p>
            <w:pPr>
              <w:spacing w:after="40" w:before="40"/>
            </w:pPr>
            <w:r>
              <w:rPr>
                <w:rFonts w:ascii="Arial" w:cs="Arial" w:eastAsia="Arial" w:hAnsi="Arial"/>
                <w:color w:val="333333"/>
                <w:sz w:val="20"/>
                <w:szCs w:val="20"/>
              </w:rPr>
              <w:t xml:space="preserve">C. A survey asking employees how much they value each wellbeing benefit on a scale of 1 to 10.</w:t>
            </w:r>
          </w:p>
          <w:p>
            <w:pPr>
              <w:spacing w:after="40" w:before="40"/>
            </w:pPr>
            <w:r>
              <w:rPr>
                <w:rFonts w:ascii="Arial" w:cs="Arial" w:eastAsia="Arial" w:hAnsi="Arial"/>
                <w:color w:val="333333"/>
                <w:sz w:val="20"/>
                <w:szCs w:val="20"/>
              </w:rPr>
              <w:t xml:space="preserve">D. A regulatory report submitted to health and safety authorities demonstrating that the organization meets minimum wellbeing standards.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Wellbeing ROI measurement is challenging but increasingly important for securing leadership investment. The most rigorous approaches compare pre- and post-intervention data on absenteeism, engagement, and healthcare costs against program costs. Even partial measurement — showing that reduced absenteeism alone covers program costs — significantly strengthens the business case for continued investment.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27</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are 'green benefits' or 'sustainable benefits' and why are they gaining traction?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Benefits programs funded entirely from the organization's sustainability budget rather than the HR budget.</w:t>
            </w:r>
          </w:p>
          <w:p>
            <w:pPr>
              <w:spacing w:after="40" w:before="40"/>
            </w:pPr>
            <w:r>
              <w:rPr>
                <w:rFonts w:ascii="Arial" w:cs="Arial" w:eastAsia="Arial" w:hAnsi="Arial"/>
                <w:color w:val="333333"/>
                <w:sz w:val="20"/>
                <w:szCs w:val="20"/>
              </w:rPr>
              <w:t xml:space="preserve">B. Benefits provided only to employees who commit to environmentally sustainable behavior at home.</w:t>
            </w:r>
          </w:p>
          <w:p>
            <w:pPr>
              <w:spacing w:after="40" w:before="40"/>
            </w:pPr>
            <w:r>
              <w:rPr>
                <w:rFonts w:ascii="Arial" w:cs="Arial" w:eastAsia="Arial" w:hAnsi="Arial"/>
                <w:color w:val="333333"/>
                <w:sz w:val="20"/>
                <w:szCs w:val="20"/>
              </w:rPr>
              <w:t xml:space="preserve">C. Reward and benefits programs designed to support environmentally sustainable choices — such as electric vehicle leasing schemes, enhanced cycle-to-work programs, public transport subsidies, sustainable investment options in pension plans, carbon offset programs, and volunteering days for environmental causes — reflecting increasing employee demand for employers to align their reward practices with stated sustainability values.</w:t>
            </w:r>
          </w:p>
          <w:p>
            <w:pPr>
              <w:spacing w:after="40" w:before="40"/>
            </w:pPr>
            <w:r>
              <w:rPr>
                <w:rFonts w:ascii="Arial" w:cs="Arial" w:eastAsia="Arial" w:hAnsi="Arial"/>
                <w:color w:val="333333"/>
                <w:sz w:val="20"/>
                <w:szCs w:val="20"/>
              </w:rPr>
              <w:t xml:space="preserve">D. A legally required set of benefits that all organizations must offer under international environmental treaties.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Green benefits address a growing disconnect between organizations' sustainability commitments and their reward programs. Employees — particularly younger generations — increasingly expect their employer's actions to match their values. Green benefits demonstrate alignment, can attract sustainability-motivated talent, and in many cases (EV schemes, cycle-to-work) offer genuine financial value to employees through tax efficiency.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28</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'eldercare support' as an employee benefit and what forms does it typically take?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pension top-up provided to employees over the age of 60 to supplement their state pension entitlement.</w:t>
            </w:r>
          </w:p>
          <w:p>
            <w:pPr>
              <w:spacing w:after="40" w:before="40"/>
            </w:pPr>
            <w:r>
              <w:rPr>
                <w:rFonts w:ascii="Arial" w:cs="Arial" w:eastAsia="Arial" w:hAnsi="Arial"/>
                <w:color w:val="333333"/>
                <w:sz w:val="20"/>
                <w:szCs w:val="20"/>
              </w:rPr>
              <w:t xml:space="preserve">B. An insurance product covering nursing home fees for employees who require residential care.</w:t>
            </w:r>
          </w:p>
          <w:p>
            <w:pPr>
              <w:spacing w:after="40" w:before="40"/>
            </w:pPr>
            <w:r>
              <w:rPr>
                <w:rFonts w:ascii="Arial" w:cs="Arial" w:eastAsia="Arial" w:hAnsi="Arial"/>
                <w:color w:val="333333"/>
                <w:sz w:val="20"/>
                <w:szCs w:val="20"/>
              </w:rPr>
              <w:t xml:space="preserve">C. A government scheme reimbursing employers for the cost of adapting workplaces for older employees.</w:t>
            </w:r>
          </w:p>
          <w:p>
            <w:pPr>
              <w:spacing w:after="40" w:before="40"/>
            </w:pPr>
            <w:r>
              <w:rPr>
                <w:rFonts w:ascii="Arial" w:cs="Arial" w:eastAsia="Arial" w:hAnsi="Arial"/>
                <w:color w:val="333333"/>
                <w:sz w:val="20"/>
                <w:szCs w:val="20"/>
              </w:rPr>
              <w:t xml:space="preserve">D. Benefits designed to help employees who have caring responsibilities for elderly parents or relatives — including referral services to vetted care providers, backup emergency care arrangements, elder care legal and financial guidance, flexible working to accommodate caring responsibilities, and EAP resources — recognizing that employees with eldercare responsibilities face similar challenges to those with childcare responsibilities in managing work and care simultaneously.</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Eldercare is an emerging but rapidly growing benefits priority as populations age. Many employees are simultaneously parenting children and caring for elderly relatives — the 'sandwich generation.' Organizations that provide eldercare support reduce the productivity loss and attrition risk associated with unmanaged caring responsibilities.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'benefits governance framework' and what does it typically include?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structured set of policies and processes governing how benefits are designed, approved, implemented, communicated, monitored, and reviewed — including decision-making authority for benefit changes, vendor selection and management standards, compliance with local legal requirements, employee data privacy obligations, cost management guidelines, and the frequency and methodology for benefits effectiveness reviews.</w:t>
            </w:r>
          </w:p>
          <w:p>
            <w:pPr>
              <w:spacing w:after="40" w:before="40"/>
            </w:pPr>
            <w:r>
              <w:rPr>
                <w:rFonts w:ascii="Arial" w:cs="Arial" w:eastAsia="Arial" w:hAnsi="Arial"/>
                <w:color w:val="333333"/>
                <w:sz w:val="20"/>
                <w:szCs w:val="20"/>
              </w:rPr>
              <w:t xml:space="preserve">B. A legal document certifying that all employee benefits comply with the applicable national insurance legislation.</w:t>
            </w:r>
          </w:p>
          <w:p>
            <w:pPr>
              <w:spacing w:after="40" w:before="40"/>
            </w:pPr>
            <w:r>
              <w:rPr>
                <w:rFonts w:ascii="Arial" w:cs="Arial" w:eastAsia="Arial" w:hAnsi="Arial"/>
                <w:color w:val="333333"/>
                <w:sz w:val="20"/>
                <w:szCs w:val="20"/>
              </w:rPr>
              <w:t xml:space="preserve">C. A framework for determining which employees are eligible for which benefits based on their employment contract type.</w:t>
            </w:r>
          </w:p>
          <w:p>
            <w:pPr>
              <w:spacing w:after="40" w:before="40"/>
            </w:pPr>
            <w:r>
              <w:rPr>
                <w:rFonts w:ascii="Arial" w:cs="Arial" w:eastAsia="Arial" w:hAnsi="Arial"/>
                <w:color w:val="333333"/>
                <w:sz w:val="20"/>
                <w:szCs w:val="20"/>
              </w:rPr>
              <w:t xml:space="preserve">D. A report submitted to the board of directors annually summarizing the total cost of all benefits programs.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Benefits governance prevents programs from drifting, becoming inconsistent, or creating unmanaged liabilities. Without clear governance, benefits accumulate over time without review, vendor relationships go unmanaged, compliance risks go unaddressed, and HR loses the ability to optimize the program. A governance framework ensures intentionality and accountability in benefits management.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'benefits flex credits' in a flexible benefits program?</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Credits that employees accumulate by attending benefits information sessions and can redeem for additional vacation days.</w:t>
            </w:r>
          </w:p>
          <w:p>
            <w:pPr>
              <w:spacing w:after="40" w:before="40"/>
            </w:pPr>
            <w:r>
              <w:rPr>
                <w:rFonts w:ascii="Arial" w:cs="Arial" w:eastAsia="Arial" w:hAnsi="Arial"/>
                <w:color w:val="333333"/>
                <w:sz w:val="20"/>
                <w:szCs w:val="20"/>
              </w:rPr>
              <w:t xml:space="preserve">B. An allocation of notional currency provided by the employer within a flexible benefits platform — which employees can spend on their chosen combination of benefits from a defined menu, with the ability to buy up (spending additional personal income) or sell down (converting credits back to cash) within defined rules, giving employees meaningful choice while the employer controls total investment.</w:t>
            </w:r>
          </w:p>
          <w:p>
            <w:pPr>
              <w:spacing w:after="40" w:before="40"/>
            </w:pPr>
            <w:r>
              <w:rPr>
                <w:rFonts w:ascii="Arial" w:cs="Arial" w:eastAsia="Arial" w:hAnsi="Arial"/>
                <w:color w:val="333333"/>
                <w:sz w:val="20"/>
                <w:szCs w:val="20"/>
              </w:rPr>
              <w:t xml:space="preserve">C. Discounts provided by benefits vendors to employees of organizations that purchase benefits in bulk.</w:t>
            </w:r>
          </w:p>
          <w:p>
            <w:pPr>
              <w:spacing w:after="40" w:before="40"/>
            </w:pPr>
            <w:r>
              <w:rPr>
                <w:rFonts w:ascii="Arial" w:cs="Arial" w:eastAsia="Arial" w:hAnsi="Arial"/>
                <w:color w:val="333333"/>
                <w:sz w:val="20"/>
                <w:szCs w:val="20"/>
              </w:rPr>
              <w:t xml:space="preserve">D. A government subsidy provided to employees who purchase specific approved benefits such as childcare or pension contributions.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Flex credits are the currency of flexible benefits programs. Rather than receiving a fixed package, employees receive a defined budget of credits and choose how to allocate them across the menu of available benefits. This personalization dramatically increases perceived value — employees invest in what matters to them rather than receiving a one-size-fits-all package.</w:t>
            </w:r>
          </w:p>
        </w:tc>
      </w:tr>
    </w:tbl>
    <w:p>
      <w:pPr>
        <w:spacing w:after="200" w:before="0"/>
      </w:pPr>
      <w:r>
        <w:t xml:space="preserve"/>
      </w:r>
    </w:p>
    <w:p>
      <w:r>
        <w:br w:type="page"/>
      </w:r>
    </w:p>
    <w:p>
      <w:pPr>
        <w:shd w:fill="C8963E" w:val="clear"/>
        <w:spacing w:after="0" w:before="480"/>
      </w:pPr>
      <w:r>
        <w:rPr>
          <w:rFonts w:ascii="Arial" w:cs="Arial" w:eastAsia="Arial" w:hAnsi="Arial"/>
          <w:b/>
          <w:bCs/>
          <w:color w:val="FFFFFF"/>
          <w:sz w:val="28"/>
          <w:szCs w:val="28"/>
        </w:rPr>
        <w:t xml:space="preserve">  Variable Pay &amp; Incentives  </w:t>
      </w:r>
    </w:p>
    <w:p>
      <w:pPr>
        <w:shd w:fill="C8963E" w:val="clear"/>
        <w:spacing w:after="240" w:before="0"/>
      </w:pPr>
      <w:r>
        <w:rPr>
          <w:rFonts w:ascii="Arial" w:cs="Arial" w:eastAsia="Arial" w:hAnsi="Arial"/>
          <w:color w:val="FFFFFF"/>
          <w:sz w:val="18"/>
          <w:szCs w:val="18"/>
        </w:rPr>
        <w:t xml:space="preserve">  Questions Q31 – Q36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an 'incentive plan governance review' and when should it be conducted?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review conducted when an individual employee disputes their bonus calculation.</w:t>
            </w:r>
          </w:p>
          <w:p>
            <w:pPr>
              <w:spacing w:after="40" w:before="40"/>
            </w:pPr>
            <w:r>
              <w:rPr>
                <w:rFonts w:ascii="Arial" w:cs="Arial" w:eastAsia="Arial" w:hAnsi="Arial"/>
                <w:color w:val="333333"/>
                <w:sz w:val="20"/>
                <w:szCs w:val="20"/>
              </w:rPr>
              <w:t xml:space="preserve">B. An annual audit of incentive payment records to verify that payroll processed bonus amounts correctly.</w:t>
            </w:r>
          </w:p>
          <w:p>
            <w:pPr>
              <w:spacing w:after="40" w:before="40"/>
            </w:pPr>
            <w:r>
              <w:rPr>
                <w:rFonts w:ascii="Arial" w:cs="Arial" w:eastAsia="Arial" w:hAnsi="Arial"/>
                <w:color w:val="333333"/>
                <w:sz w:val="20"/>
                <w:szCs w:val="20"/>
              </w:rPr>
              <w:t xml:space="preserve">C. A periodic structured assessment — typically annual or bi-annual — examining whether the incentive plan remains fit for purpose: whether measures are still aligned to business strategy, whether targets are appropriately stretching, whether the plan is motivating the intended behaviors, whether eligibility and governance rules are clear and consistently applied, and whether the cost-to-performance relationship is appropriate — producing recommendations to update, simplify, or redesign elements that are no longer effective.</w:t>
            </w:r>
          </w:p>
          <w:p>
            <w:pPr>
              <w:spacing w:after="40" w:before="40"/>
            </w:pPr>
            <w:r>
              <w:rPr>
                <w:rFonts w:ascii="Arial" w:cs="Arial" w:eastAsia="Arial" w:hAnsi="Arial"/>
                <w:color w:val="333333"/>
                <w:sz w:val="20"/>
                <w:szCs w:val="20"/>
              </w:rPr>
              <w:t xml:space="preserve">D. A review triggered when total incentive costs exceed the approved budget by more than 10%.</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Incentive plans age poorly without deliberate governance. Business strategy changes, making old measures irrelevant. Market conditions shift, making historical targets unrepresentative. Organizational structures change, creating new eligibility questions. An annual governance review prevents plans from becoming expensive, well-intentioned relics that drive the wrong behaviors.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'ratchet effect' in incentive target-setting and why is it a risk?</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mechanism that automatically adjusts incentive targets downward when macroeconomic conditions deteriorate.</w:t>
            </w:r>
          </w:p>
          <w:p>
            <w:pPr>
              <w:spacing w:after="40" w:before="40"/>
            </w:pPr>
            <w:r>
              <w:rPr>
                <w:rFonts w:ascii="Arial" w:cs="Arial" w:eastAsia="Arial" w:hAnsi="Arial"/>
                <w:color w:val="333333"/>
                <w:sz w:val="20"/>
                <w:szCs w:val="20"/>
              </w:rPr>
              <w:t xml:space="preserve">B. A compensation technique where commission rates increase as cumulative sales volume grows within a period.</w:t>
            </w:r>
          </w:p>
          <w:p>
            <w:pPr>
              <w:spacing w:after="40" w:before="40"/>
            </w:pPr>
            <w:r>
              <w:rPr>
                <w:rFonts w:ascii="Arial" w:cs="Arial" w:eastAsia="Arial" w:hAnsi="Arial"/>
                <w:color w:val="333333"/>
                <w:sz w:val="20"/>
                <w:szCs w:val="20"/>
              </w:rPr>
              <w:t xml:space="preserve">C. A governance principle requiring that any reduction in incentive targets must be offset by a corresponding reduction in target incentive opportunity.</w:t>
            </w:r>
          </w:p>
          <w:p>
            <w:pPr>
              <w:spacing w:after="40" w:before="40"/>
            </w:pPr>
            <w:r>
              <w:rPr>
                <w:rFonts w:ascii="Arial" w:cs="Arial" w:eastAsia="Arial" w:hAnsi="Arial"/>
                <w:color w:val="333333"/>
                <w:sz w:val="20"/>
                <w:szCs w:val="20"/>
              </w:rPr>
              <w:t xml:space="preserve">D. The dynamic where managers or employees consistently achieve targets, triggering higher targets the following year, leading participants to consciously manage performance below maximum to avoid unachievable future targets — destroying the plan's motivational integrity. It is a risk when target-setting relies too heavily on prior-year actuals rather than bottom-up, forward-looking business planning.</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The ratchet effect is a classic unintended consequence of incentive design. When employees know that exceptional performance this year means impossibly high targets next year, the rational response is to cap performance — delivering 100–105% of target consistently rather than 130% once and facing 130% as next year's baseline. Avoiding ratcheting requires target-setting approaches grounded in business planning rather than historical extrapolation.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'recognition program charter' and why does it improve program effectiveness?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formal document defining the purpose, principles, eligibility criteria, forms of recognition available, frequency guidelines, nomination and approval process, and success metrics for an employee recognition program — creating shared understanding among managers and employees about how recognition works and what behaviors it is designed to reinforce, preventing inconsistent or inequitable application.</w:t>
            </w:r>
          </w:p>
          <w:p>
            <w:pPr>
              <w:spacing w:after="40" w:before="40"/>
            </w:pPr>
            <w:r>
              <w:rPr>
                <w:rFonts w:ascii="Arial" w:cs="Arial" w:eastAsia="Arial" w:hAnsi="Arial"/>
                <w:color w:val="333333"/>
                <w:sz w:val="20"/>
                <w:szCs w:val="20"/>
              </w:rPr>
              <w:t xml:space="preserve">B. A legal agreement between the organization and a recognition technology vendor governing data privacy and service standards.</w:t>
            </w:r>
          </w:p>
          <w:p>
            <w:pPr>
              <w:spacing w:after="40" w:before="40"/>
            </w:pPr>
            <w:r>
              <w:rPr>
                <w:rFonts w:ascii="Arial" w:cs="Arial" w:eastAsia="Arial" w:hAnsi="Arial"/>
                <w:color w:val="333333"/>
                <w:sz w:val="20"/>
                <w:szCs w:val="20"/>
              </w:rPr>
              <w:t xml:space="preserve">C. A financial authorization document required before any monetary recognition award can be processed through payroll.</w:t>
            </w:r>
          </w:p>
          <w:p>
            <w:pPr>
              <w:spacing w:after="40" w:before="40"/>
            </w:pPr>
            <w:r>
              <w:rPr>
                <w:rFonts w:ascii="Arial" w:cs="Arial" w:eastAsia="Arial" w:hAnsi="Arial"/>
                <w:color w:val="333333"/>
                <w:sz w:val="20"/>
                <w:szCs w:val="20"/>
              </w:rPr>
              <w:t xml:space="preserve">D. A board-approved policy listing the maximum amount that can be spent annually on employee recognition globally.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Recognition programs without charters often fail through inconsistency — some managers recognize frequently and generously, others rarely or never, creating perceived unfairness. A charter defines the rules of the game: what qualifies for recognition, who can nominate, how approval works, and what forms recognition takes — enabling consistent, equitable, and culturally reinforcing implementation.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'long-term incentive' and 'deferred annual bonus' structures?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Long-term incentives are always paid in equity; deferred annual bonuses are always paid in cash.</w:t>
            </w:r>
          </w:p>
          <w:p>
            <w:pPr>
              <w:spacing w:after="40" w:before="40"/>
            </w:pPr>
            <w:r>
              <w:rPr>
                <w:rFonts w:ascii="Arial" w:cs="Arial" w:eastAsia="Arial" w:hAnsi="Arial"/>
                <w:color w:val="333333"/>
                <w:sz w:val="20"/>
                <w:szCs w:val="20"/>
              </w:rPr>
              <w:t xml:space="preserve">B. Long-term incentives are typically awarded based on multi-year performance conditions assessed over the vesting period — so the award size and payout depend on whether 3–5 year performance goals are met. Deferred annual bonuses are calculated based on annual performance and then held for a further period before release — so the amount is known but delivery is delayed. Both create retention incentive, but LTIs create stronger performance alignment over a longer horizon.</w:t>
            </w:r>
          </w:p>
          <w:p>
            <w:pPr>
              <w:spacing w:after="40" w:before="40"/>
            </w:pPr>
            <w:r>
              <w:rPr>
                <w:rFonts w:ascii="Arial" w:cs="Arial" w:eastAsia="Arial" w:hAnsi="Arial"/>
                <w:color w:val="333333"/>
                <w:sz w:val="20"/>
                <w:szCs w:val="20"/>
              </w:rPr>
              <w:t xml:space="preserve">C. Deferred annual bonuses are only available to employees who have achieved the maximum performance rating.</w:t>
            </w:r>
          </w:p>
          <w:p>
            <w:pPr>
              <w:spacing w:after="40" w:before="40"/>
            </w:pPr>
            <w:r>
              <w:rPr>
                <w:rFonts w:ascii="Arial" w:cs="Arial" w:eastAsia="Arial" w:hAnsi="Arial"/>
                <w:color w:val="333333"/>
                <w:sz w:val="20"/>
                <w:szCs w:val="20"/>
              </w:rPr>
              <w:t xml:space="preserve">D. Long-term incentives are regulated by financial services authorities; deferred bonuses are unregulated in all sectors.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The distinction matters for design and communication. With an LTI, employees accept uncertainty about the final award value — which depends on future performance. With a deferred bonus, the award amount is known upfront; only its delivery is deferred. The former creates stronger performance alignment; the latter creates retention without adding additional performance uncertainty.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'equity incentive tax planning' and why should HR coordinate with tax advisors on LTI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of reducing corporation tax by offsetting the cost of equity awards against company profits.</w:t>
            </w:r>
          </w:p>
          <w:p>
            <w:pPr>
              <w:spacing w:after="40" w:before="40"/>
            </w:pPr>
            <w:r>
              <w:rPr>
                <w:rFonts w:ascii="Arial" w:cs="Arial" w:eastAsia="Arial" w:hAnsi="Arial"/>
                <w:color w:val="333333"/>
                <w:sz w:val="20"/>
                <w:szCs w:val="20"/>
              </w:rPr>
              <w:t xml:space="preserve">B. A requirement that all equity awards be approved by the tax authorities before they can be granted to employees.</w:t>
            </w:r>
          </w:p>
          <w:p>
            <w:pPr>
              <w:spacing w:after="40" w:before="40"/>
            </w:pPr>
            <w:r>
              <w:rPr>
                <w:rFonts w:ascii="Arial" w:cs="Arial" w:eastAsia="Arial" w:hAnsi="Arial"/>
                <w:color w:val="333333"/>
                <w:sz w:val="20"/>
                <w:szCs w:val="20"/>
              </w:rPr>
              <w:t xml:space="preserve">C. The consideration of how equity incentive awards will be taxed in the hands of recipients — including income tax, capital gains tax, social security contributions, and potentially withholding obligations for internationally mobile employees — which can significantly affect the net value of awards and should influence plan design, vesting structures, and whether awards are granted in specific approved formats (e.g., HM Revenue &amp; Customs-approved schemes in the UK) that offer more favorable tax treatment.</w:t>
            </w:r>
          </w:p>
          <w:p>
            <w:pPr>
              <w:spacing w:after="40" w:before="40"/>
            </w:pPr>
            <w:r>
              <w:rPr>
                <w:rFonts w:ascii="Arial" w:cs="Arial" w:eastAsia="Arial" w:hAnsi="Arial"/>
                <w:color w:val="333333"/>
                <w:sz w:val="20"/>
                <w:szCs w:val="20"/>
              </w:rPr>
              <w:t xml:space="preserve">D. A legal requirement for employees to disclose all equity awards on their personal tax returns within 30 days of grant.</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Tax treatment profoundly affects the real value of equity awards to recipients. An award of $50,000 gross value may deliver very different net value depending on whether it is taxed as income at marginal rates on vesting, as capital gains at lower rates on disposal, or under a tax-advantaged scheme. HR must coordinate with tax advisors to design plans that deliver intended value efficiently.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'sales quota rationality check' and why is it part of good incentive governance?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mathematical verification that all individual sales targets add up to the division's total revenue goal.</w:t>
            </w:r>
          </w:p>
          <w:p>
            <w:pPr>
              <w:spacing w:after="40" w:before="40"/>
            </w:pPr>
            <w:r>
              <w:rPr>
                <w:rFonts w:ascii="Arial" w:cs="Arial" w:eastAsia="Arial" w:hAnsi="Arial"/>
                <w:color w:val="333333"/>
                <w:sz w:val="20"/>
                <w:szCs w:val="20"/>
              </w:rPr>
              <w:t xml:space="preserve">B. A compliance review ensuring that sales commission rates comply with the financial services remuneration code.</w:t>
            </w:r>
          </w:p>
          <w:p>
            <w:pPr>
              <w:spacing w:after="40" w:before="40"/>
            </w:pPr>
            <w:r>
              <w:rPr>
                <w:rFonts w:ascii="Arial" w:cs="Arial" w:eastAsia="Arial" w:hAnsi="Arial"/>
                <w:color w:val="333333"/>
                <w:sz w:val="20"/>
                <w:szCs w:val="20"/>
              </w:rPr>
              <w:t xml:space="preserve">C. A process of comparing each salesperson's quota against their historical performance to ensure consistency.</w:t>
            </w:r>
          </w:p>
          <w:p>
            <w:pPr>
              <w:spacing w:after="40" w:before="40"/>
            </w:pPr>
            <w:r>
              <w:rPr>
                <w:rFonts w:ascii="Arial" w:cs="Arial" w:eastAsia="Arial" w:hAnsi="Arial"/>
                <w:color w:val="333333"/>
                <w:sz w:val="20"/>
                <w:szCs w:val="20"/>
              </w:rPr>
              <w:t xml:space="preserve">D. A governance review that examines whether sales targets are genuinely achievable and appropriately differentiated — checking that targets reflect market opportunity, territory potential, and account history rather than being uniform across different territory sizes or account types, and that the distribution of targets across the team creates meaningful but not demotivating stretch — ensuring the incentive plan can realistically motivate the majority of the sales force.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Quota quality is the foundation of sales incentive effectiveness. Quotas that are too high demotivate; quotas that are too low waste incentive budget on windfalls. Quotas that ignore territory differences are inequitable. A rationality check applies systematic analysis — attainment rate distribution, territory opportunity assessment, and benchmarking against plan design intent — to ensure quota quality before the performance year begins.</w:t>
            </w:r>
          </w:p>
        </w:tc>
      </w:tr>
    </w:tbl>
    <w:p>
      <w:pPr>
        <w:spacing w:after="200" w:before="0"/>
      </w:pPr>
      <w:r>
        <w:t xml:space="preserve"/>
      </w:r>
    </w:p>
    <w:p>
      <w:r>
        <w:br w:type="page"/>
      </w:r>
    </w:p>
    <w:p>
      <w:pPr>
        <w:shd w:fill="2E7D8C" w:val="clear"/>
        <w:spacing w:after="0" w:before="480"/>
      </w:pPr>
      <w:r>
        <w:rPr>
          <w:rFonts w:ascii="Arial" w:cs="Arial" w:eastAsia="Arial" w:hAnsi="Arial"/>
          <w:b/>
          <w:bCs/>
          <w:color w:val="FFFFFF"/>
          <w:sz w:val="28"/>
          <w:szCs w:val="28"/>
        </w:rPr>
        <w:t xml:space="preserve">  Pay Transparency &amp; Communication  </w:t>
      </w:r>
    </w:p>
    <w:p>
      <w:pPr>
        <w:shd w:fill="2E7D8C" w:val="clear"/>
        <w:spacing w:after="240" w:before="0"/>
      </w:pPr>
      <w:r>
        <w:rPr>
          <w:rFonts w:ascii="Arial" w:cs="Arial" w:eastAsia="Arial" w:hAnsi="Arial"/>
          <w:color w:val="FFFFFF"/>
          <w:sz w:val="18"/>
          <w:szCs w:val="18"/>
        </w:rPr>
        <w:t xml:space="preserve">  Questions Q37 – Q41</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'internal pay equity communication' and who are its primary audiences?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proactive organizational practice of explaining to employees — at an appropriate level of detail — how pay decisions are made, what governs them, how equity is monitored, and what actions are being taken to address identified gaps. Primary audiences include all employees (who need confidence that pay is fair), managers (who need tools to have informed pay conversations), and senior leaders (who need assurance that pay equity supports organizational values and manages legal risk).</w:t>
            </w:r>
          </w:p>
          <w:p>
            <w:pPr>
              <w:spacing w:after="40" w:before="40"/>
            </w:pPr>
            <w:r>
              <w:rPr>
                <w:rFonts w:ascii="Arial" w:cs="Arial" w:eastAsia="Arial" w:hAnsi="Arial"/>
                <w:color w:val="333333"/>
                <w:sz w:val="20"/>
                <w:szCs w:val="20"/>
              </w:rPr>
              <w:t xml:space="preserve">B. A communication sent exclusively to HR business partners explaining the findings of the most recent pay audit.</w:t>
            </w:r>
          </w:p>
          <w:p>
            <w:pPr>
              <w:spacing w:after="40" w:before="40"/>
            </w:pPr>
            <w:r>
              <w:rPr>
                <w:rFonts w:ascii="Arial" w:cs="Arial" w:eastAsia="Arial" w:hAnsi="Arial"/>
                <w:color w:val="333333"/>
                <w:sz w:val="20"/>
                <w:szCs w:val="20"/>
              </w:rPr>
              <w:t xml:space="preserve">C. A press release published on the organization's website describing its commitment to pay equity.</w:t>
            </w:r>
          </w:p>
          <w:p>
            <w:pPr>
              <w:spacing w:after="40" w:before="40"/>
            </w:pPr>
            <w:r>
              <w:rPr>
                <w:rFonts w:ascii="Arial" w:cs="Arial" w:eastAsia="Arial" w:hAnsi="Arial"/>
                <w:color w:val="333333"/>
                <w:sz w:val="20"/>
                <w:szCs w:val="20"/>
              </w:rPr>
              <w:t xml:space="preserve">D. A regulatory notification sent to the government each time a pay equity correction is made to an employee's salary.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Internal pay equity communication requires tailored messages for different audiences. All-employee communication focuses on commitment, process, and actions taken. Manager communication focuses on equipping them to have confident pay conversations. Leadership communication focuses on governance, risk, and strategic progress. One-size communication serves none of these audiences well.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 transparency maturity assessment' and what does it evaluate?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government inspection assessing whether an organization is meeting its mandatory pay gap reporting obligations.</w:t>
            </w:r>
          </w:p>
          <w:p>
            <w:pPr>
              <w:spacing w:after="40" w:before="40"/>
            </w:pPr>
            <w:r>
              <w:rPr>
                <w:rFonts w:ascii="Arial" w:cs="Arial" w:eastAsia="Arial" w:hAnsi="Arial"/>
                <w:color w:val="333333"/>
                <w:sz w:val="20"/>
                <w:szCs w:val="20"/>
              </w:rPr>
              <w:t xml:space="preserve">B. A structured evaluation of where an organization sits on the transparency spectrum — assessing the current state of pay communication practices, what information employees have access to, what governance supports pay decision-making, how prepared managers are to discuss pay, what the legal and competitive context requires, and where investment in greater transparency would generate the highest trust and engagement return relative to the risks of disclosure.</w:t>
            </w:r>
          </w:p>
          <w:p>
            <w:pPr>
              <w:spacing w:after="40" w:before="40"/>
            </w:pPr>
            <w:r>
              <w:rPr>
                <w:rFonts w:ascii="Arial" w:cs="Arial" w:eastAsia="Arial" w:hAnsi="Arial"/>
                <w:color w:val="333333"/>
                <w:sz w:val="20"/>
                <w:szCs w:val="20"/>
              </w:rPr>
              <w:t xml:space="preserve">C. A performance review of the compensation team's ability to respond to employee pay queries within defined service level agreements.</w:t>
            </w:r>
          </w:p>
          <w:p>
            <w:pPr>
              <w:spacing w:after="40" w:before="40"/>
            </w:pPr>
            <w:r>
              <w:rPr>
                <w:rFonts w:ascii="Arial" w:cs="Arial" w:eastAsia="Arial" w:hAnsi="Arial"/>
                <w:color w:val="333333"/>
                <w:sz w:val="20"/>
                <w:szCs w:val="20"/>
              </w:rPr>
              <w:t xml:space="preserve">D. A benchmarking exercise comparing the organization's pay transparency practices against the industry's most transparent organizations.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maturity assessment prevents organizations from either moving too fast (publishing ranges before their systems can support the questions this raises) or standing still when greater transparency would genuinely improve trust and attraction. It creates a roadmap for structured, sequenced progress rather than a binary leap to full disclosure.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'candidate experience' impact of pay transparency in recruitment?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Publishing salary ranges always reduces candidate applications because it shows the organization is not the highest payer.</w:t>
            </w:r>
          </w:p>
          <w:p>
            <w:pPr>
              <w:spacing w:after="40" w:before="40"/>
            </w:pPr>
            <w:r>
              <w:rPr>
                <w:rFonts w:ascii="Arial" w:cs="Arial" w:eastAsia="Arial" w:hAnsi="Arial"/>
                <w:color w:val="333333"/>
                <w:sz w:val="20"/>
                <w:szCs w:val="20"/>
              </w:rPr>
              <w:t xml:space="preserve">B. Pay transparency in recruitment is legally prohibited in most jurisdictions to protect employer negotiating position.</w:t>
            </w:r>
          </w:p>
          <w:p>
            <w:pPr>
              <w:spacing w:after="40" w:before="40"/>
            </w:pPr>
            <w:r>
              <w:rPr>
                <w:rFonts w:ascii="Arial" w:cs="Arial" w:eastAsia="Arial" w:hAnsi="Arial"/>
                <w:color w:val="333333"/>
                <w:sz w:val="20"/>
                <w:szCs w:val="20"/>
              </w:rPr>
              <w:t xml:space="preserve">C. Transparent pay ranges in job postings — combined with clear explanation of what determines pay positioning within that range — tend to improve candidate experience by enabling self-selection (avoiding wasted application time), building initial trust in the organization's fairness, reducing late-stage offer disappointment, and accelerating offer negotiation. Candidates increasingly expect and reward transparency.</w:t>
            </w:r>
          </w:p>
          <w:p>
            <w:pPr>
              <w:spacing w:after="40" w:before="40"/>
            </w:pPr>
            <w:r>
              <w:rPr>
                <w:rFonts w:ascii="Arial" w:cs="Arial" w:eastAsia="Arial" w:hAnsi="Arial"/>
                <w:color w:val="333333"/>
                <w:sz w:val="20"/>
                <w:szCs w:val="20"/>
              </w:rPr>
              <w:t xml:space="preserve">D. Showing pay ranges in job postings prevents any salary negotiation, which disadvantages candidates who would otherwise receive higher offers.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The evidence on candidate experience and pay transparency is increasingly clear: most candidates prefer to know the range before investing time in an application process. Organizations that share ranges report higher application conversion rates, faster time-to-offer, and fewer late-stage failures. The short-term discomfort of revealing the range is substantially outweighed by the long-term efficiency and trust gains.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'pay transparency in a merger or acquisition context' and what makes it particularly complex?</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requirement to publicly disclose all employee salaries of the acquired company as part of regulatory merger approval.</w:t>
            </w:r>
          </w:p>
          <w:p>
            <w:pPr>
              <w:spacing w:after="40" w:before="40"/>
            </w:pPr>
            <w:r>
              <w:rPr>
                <w:rFonts w:ascii="Arial" w:cs="Arial" w:eastAsia="Arial" w:hAnsi="Arial"/>
                <w:color w:val="333333"/>
                <w:sz w:val="20"/>
                <w:szCs w:val="20"/>
              </w:rPr>
              <w:t xml:space="preserve">B. A process of communicating salary ranges to acquired employees before integration is complete so they can make informed decisions about staying or leaving.</w:t>
            </w:r>
          </w:p>
          <w:p>
            <w:pPr>
              <w:spacing w:after="40" w:before="40"/>
            </w:pPr>
            <w:r>
              <w:rPr>
                <w:rFonts w:ascii="Arial" w:cs="Arial" w:eastAsia="Arial" w:hAnsi="Arial"/>
                <w:color w:val="333333"/>
                <w:sz w:val="20"/>
                <w:szCs w:val="20"/>
              </w:rPr>
              <w:t xml:space="preserve">C. A legal obligation to provide a detailed pay audit to the acquiring company's board within 30 days of deal completion.</w:t>
            </w:r>
          </w:p>
          <w:p>
            <w:pPr>
              <w:spacing w:after="40" w:before="40"/>
            </w:pPr>
            <w:r>
              <w:rPr>
                <w:rFonts w:ascii="Arial" w:cs="Arial" w:eastAsia="Arial" w:hAnsi="Arial"/>
                <w:color w:val="333333"/>
                <w:sz w:val="20"/>
                <w:szCs w:val="20"/>
              </w:rPr>
              <w:t xml:space="preserve">D. The challenge of managing two workforces with different information about each other's pay — often discovering significant differences in pay levels, structures, and philosophy — while communicating enough to maintain trust and manage retention risk without creating anxiety, speculation, or grievances before the harmonization program is ready to address identified gaps. This requires carefully sequenced communication that acknowledges uncertainty while demonstrating commitment to fair resolution.</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Post-merger pay transparency is a delicate balance. Employees from both organizations will inevitably compare pay; attempting to maintain secrecy typically fails and erodes trust. The most effective approach acknowledges that differences exist, explains why (different market histories, structures, and geographies), commits to a fair process, and provides a timeline — without making specific commitments before the analysis is complete.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'manager credibility' in pay conversations and how can HR build it?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manager's ability to have confident, accurate, and empathetic conversations about pay with their team — built through training on how the reward system works, briefing packs before review cycles, clear escalation paths for questions they cannot answer, and organizational communication that equips managers with the 'why' behind pay decisions rather than just the 'what', so they can explain the system rather than simply delivering outcomes.</w:t>
            </w:r>
          </w:p>
          <w:p>
            <w:pPr>
              <w:spacing w:after="40" w:before="40"/>
            </w:pPr>
            <w:r>
              <w:rPr>
                <w:rFonts w:ascii="Arial" w:cs="Arial" w:eastAsia="Arial" w:hAnsi="Arial"/>
                <w:color w:val="333333"/>
                <w:sz w:val="20"/>
                <w:szCs w:val="20"/>
              </w:rPr>
              <w:t xml:space="preserve">B. The formal authority granted to managers to approve their own team members' pay increases without HR involvement.</w:t>
            </w:r>
          </w:p>
          <w:p>
            <w:pPr>
              <w:spacing w:after="40" w:before="40"/>
            </w:pPr>
            <w:r>
              <w:rPr>
                <w:rFonts w:ascii="Arial" w:cs="Arial" w:eastAsia="Arial" w:hAnsi="Arial"/>
                <w:color w:val="333333"/>
                <w:sz w:val="20"/>
                <w:szCs w:val="20"/>
              </w:rPr>
              <w:t xml:space="preserve">C. A manager's personal reputation for paying their team generously regardless of organizational guidelines.</w:t>
            </w:r>
          </w:p>
          <w:p>
            <w:pPr>
              <w:spacing w:after="40" w:before="40"/>
            </w:pPr>
            <w:r>
              <w:rPr>
                <w:rFonts w:ascii="Arial" w:cs="Arial" w:eastAsia="Arial" w:hAnsi="Arial"/>
                <w:color w:val="333333"/>
                <w:sz w:val="20"/>
                <w:szCs w:val="20"/>
              </w:rPr>
              <w:t xml:space="preserve">D. A certification program qualifying managers to conduct salary surveys and market pricing exercises independently.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Manager credibility in pay conversations is not innate — it is built through investment in enablement. Managers who cannot explain how the grade structure works, cannot articulate why one employee received a higher increase than another, or who are defensive when employees ask pay questions, undermine confidence in the entire reward system regardless of how well-designed it is.</w:t>
            </w:r>
          </w:p>
        </w:tc>
      </w:tr>
    </w:tbl>
    <w:p>
      <w:pPr>
        <w:spacing w:after="200" w:before="0"/>
      </w:pPr>
      <w:r>
        <w:t xml:space="preserve"/>
      </w:r>
    </w:p>
    <w:p>
      <w:r>
        <w:br w:type="page"/>
      </w:r>
    </w:p>
    <w:p>
      <w:pPr>
        <w:shd w:fill="B84B4B" w:val="clear"/>
        <w:spacing w:after="0" w:before="480"/>
      </w:pPr>
      <w:r>
        <w:rPr>
          <w:rFonts w:ascii="Arial" w:cs="Arial" w:eastAsia="Arial" w:hAnsi="Arial"/>
          <w:b/>
          <w:bCs/>
          <w:color w:val="FFFFFF"/>
          <w:sz w:val="28"/>
          <w:szCs w:val="28"/>
        </w:rPr>
        <w:t xml:space="preserve">  Executive Compensation &amp; Global Rewards  </w:t>
      </w:r>
    </w:p>
    <w:p>
      <w:pPr>
        <w:shd w:fill="B84B4B" w:val="clear"/>
        <w:spacing w:after="240" w:before="0"/>
      </w:pPr>
      <w:r>
        <w:rPr>
          <w:rFonts w:ascii="Arial" w:cs="Arial" w:eastAsia="Arial" w:hAnsi="Arial"/>
          <w:color w:val="FFFFFF"/>
          <w:sz w:val="18"/>
          <w:szCs w:val="18"/>
        </w:rPr>
        <w:t xml:space="preserve">  Questions Q42 – Q45</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are 'non-executive director (NED) fees' and how are they typically structured?</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Salaries paid to non-executive directors on a monthly basis, equivalent to 75% of executive director base salaries.</w:t>
            </w:r>
          </w:p>
          <w:p>
            <w:pPr>
              <w:spacing w:after="40" w:before="40"/>
            </w:pPr>
            <w:r>
              <w:rPr>
                <w:rFonts w:ascii="Arial" w:cs="Arial" w:eastAsia="Arial" w:hAnsi="Arial"/>
                <w:color w:val="333333"/>
                <w:sz w:val="20"/>
                <w:szCs w:val="20"/>
              </w:rPr>
              <w:t xml:space="preserve">B. Fixed cash fees paid to non-executive directors for their time and expertise in providing independent oversight and governance — typically consisting of a base board fee, supplemented by additional fees for chairing committees or serving as Senior Independent Director, and sometimes a shares component to align NED interests with shareholders. NEDs typically do not participate in executive bonus or long-term incentive plans, preserving their independence.</w:t>
            </w:r>
          </w:p>
          <w:p>
            <w:pPr>
              <w:spacing w:after="40" w:before="40"/>
            </w:pPr>
            <w:r>
              <w:rPr>
                <w:rFonts w:ascii="Arial" w:cs="Arial" w:eastAsia="Arial" w:hAnsi="Arial"/>
                <w:color w:val="333333"/>
                <w:sz w:val="20"/>
                <w:szCs w:val="20"/>
              </w:rPr>
              <w:t xml:space="preserve">C. Performance bonuses paid to non-executive directors when the company exceeds its annual profit target.</w:t>
            </w:r>
          </w:p>
          <w:p>
            <w:pPr>
              <w:spacing w:after="40" w:before="40"/>
            </w:pPr>
            <w:r>
              <w:rPr>
                <w:rFonts w:ascii="Arial" w:cs="Arial" w:eastAsia="Arial" w:hAnsi="Arial"/>
                <w:color w:val="333333"/>
                <w:sz w:val="20"/>
                <w:szCs w:val="20"/>
              </w:rPr>
              <w:t xml:space="preserve">D. Expense reimbursements for non-executive directors covering travel, accommodation, and professional development costs.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NED fee structure reflects their governance role: they provide independent oversight rather than management. Including NEDs in performance-based incentives — particularly equity plans with performance conditions — would compromise their independence and create a conflict of interest in the very oversight role they are appointed to perform. Fee-only structures maintain the necessary independence.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'executive share ownership guidelines' (SOGs) and why are they used?</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requirement for all executives to purchase company shares on the open market at the time of their appointment.</w:t>
            </w:r>
          </w:p>
          <w:p>
            <w:pPr>
              <w:spacing w:after="40" w:before="40"/>
            </w:pPr>
            <w:r>
              <w:rPr>
                <w:rFonts w:ascii="Arial" w:cs="Arial" w:eastAsia="Arial" w:hAnsi="Arial"/>
                <w:color w:val="333333"/>
                <w:sz w:val="20"/>
                <w:szCs w:val="20"/>
              </w:rPr>
              <w:t xml:space="preserve">B. Rules preventing executives from selling any shares for a period of five years after they are granted.</w:t>
            </w:r>
          </w:p>
          <w:p>
            <w:pPr>
              <w:spacing w:after="40" w:before="40"/>
            </w:pPr>
            <w:r>
              <w:rPr>
                <w:rFonts w:ascii="Arial" w:cs="Arial" w:eastAsia="Arial" w:hAnsi="Arial"/>
                <w:color w:val="333333"/>
                <w:sz w:val="20"/>
                <w:szCs w:val="20"/>
              </w:rPr>
              <w:t xml:space="preserve">C. Policies requiring senior executives to build and maintain a personal shareholding in the company equivalent to a defined multiple of their base salary — for example, the CEO holding shares worth 5× salary — ensuring that executives have personal financial exposure to long-term company performance and shareholder value, reinforcing alignment between management and shareholder interests beyond the vesting period of any incentive awards.</w:t>
            </w:r>
          </w:p>
          <w:p>
            <w:pPr>
              <w:spacing w:after="40" w:before="40"/>
            </w:pPr>
            <w:r>
              <w:rPr>
                <w:rFonts w:ascii="Arial" w:cs="Arial" w:eastAsia="Arial" w:hAnsi="Arial"/>
                <w:color w:val="333333"/>
                <w:sz w:val="20"/>
                <w:szCs w:val="20"/>
              </w:rPr>
              <w:t xml:space="preserve">D. Guidelines specifying the maximum number of shares that executives can hold to prevent insider trading risk.</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Share ownership guidelines address the risk that executives sell vested shares immediately, removing the long-term alignment that equity awards were designed to create. By requiring executives to maintain a significant personal shareholding — built progressively from vested awards rather than open market purchases — organizations ensure lasting skin in the game beyond any individual incentive vesting.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'executive pay benchmarking peer group evolution' and why does it require active governance?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practice of replacing all peer group companies every three years to ensure the benchmark remains current.</w:t>
            </w:r>
          </w:p>
          <w:p>
            <w:pPr>
              <w:spacing w:after="40" w:before="40"/>
            </w:pPr>
            <w:r>
              <w:rPr>
                <w:rFonts w:ascii="Arial" w:cs="Arial" w:eastAsia="Arial" w:hAnsi="Arial"/>
                <w:color w:val="333333"/>
                <w:sz w:val="20"/>
                <w:szCs w:val="20"/>
              </w:rPr>
              <w:t xml:space="preserve">B. A regulatory requirement to update the executive pay benchmark annually using government-approved comparators.</w:t>
            </w:r>
          </w:p>
          <w:p>
            <w:pPr>
              <w:spacing w:after="40" w:before="40"/>
            </w:pPr>
            <w:r>
              <w:rPr>
                <w:rFonts w:ascii="Arial" w:cs="Arial" w:eastAsia="Arial" w:hAnsi="Arial"/>
                <w:color w:val="333333"/>
                <w:sz w:val="20"/>
                <w:szCs w:val="20"/>
              </w:rPr>
              <w:t xml:space="preserve">C. A process of adding new peer companies to the benchmark group as the organization grows into new sectors.</w:t>
            </w:r>
          </w:p>
          <w:p>
            <w:pPr>
              <w:spacing w:after="40" w:before="40"/>
            </w:pPr>
            <w:r>
              <w:rPr>
                <w:rFonts w:ascii="Arial" w:cs="Arial" w:eastAsia="Arial" w:hAnsi="Arial"/>
                <w:color w:val="333333"/>
                <w:sz w:val="20"/>
                <w:szCs w:val="20"/>
              </w:rPr>
              <w:t xml:space="preserve">D. The governance challenge of ensuring that the peer group used for executive compensation benchmarking remains appropriate as the organization's size, sector, and geographic footprint evolve — and that peer selection criteria are transparent and defensible rather than being adjusted post-hoc to produce a desired pay outcome. Remuneration committees and proxy advisors scrutinize peer group changes closely.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Peer group integrity is a significant governance issue. As organizations grow, acquire, or change strategic direction, their natural peer group shifts. However, peer group changes also affect benchmark outcomes — and are sometimes made opportunistically to justify higher pay. Transparent, criteria-based peer selection with clear documentation of why any changes are made is essential for investor confidence.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'executive succession and pay continuity' planning in Total Rewards?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obligation requiring organizations to maintain executives' pay at current levels for five years after their departure.</w:t>
            </w:r>
          </w:p>
          <w:p>
            <w:pPr>
              <w:spacing w:after="40" w:before="40"/>
            </w:pPr>
            <w:r>
              <w:rPr>
                <w:rFonts w:ascii="Arial" w:cs="Arial" w:eastAsia="Arial" w:hAnsi="Arial"/>
                <w:color w:val="333333"/>
                <w:sz w:val="20"/>
                <w:szCs w:val="20"/>
              </w:rPr>
              <w:t xml:space="preserve">B. The process of ensuring that executive compensation arrangements — including unvested equity, pension entitlements, and contractual obligations — are structured in ways that support smooth leadership transitions rather than creating retention barriers for outgoing executives or inappropriate windfalls for successors. This includes designing handover periods, managing accelerated vesting decisions, and ensuring incoming leaders have appropriately calibrated packages from day one.</w:t>
            </w:r>
          </w:p>
          <w:p>
            <w:pPr>
              <w:spacing w:after="40" w:before="40"/>
            </w:pPr>
            <w:r>
              <w:rPr>
                <w:rFonts w:ascii="Arial" w:cs="Arial" w:eastAsia="Arial" w:hAnsi="Arial"/>
                <w:color w:val="333333"/>
                <w:sz w:val="20"/>
                <w:szCs w:val="20"/>
              </w:rPr>
              <w:t xml:space="preserve">C. A program providing outgoing executives with coaching and career transition support funded from the HR budget.</w:t>
            </w:r>
          </w:p>
          <w:p>
            <w:pPr>
              <w:spacing w:after="40" w:before="40"/>
            </w:pPr>
            <w:r>
              <w:rPr>
                <w:rFonts w:ascii="Arial" w:cs="Arial" w:eastAsia="Arial" w:hAnsi="Arial"/>
                <w:color w:val="333333"/>
                <w:sz w:val="20"/>
                <w:szCs w:val="20"/>
              </w:rPr>
              <w:t xml:space="preserve">D. A policy requiring all executives to designate a named successor before any long-term incentive awards are granted.</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Executive succession creates multiple compensation complications: does the departing CEO receive accelerated vesting of all unvested equity? How is the incoming CEO's package set relative to their predecessor's? Are there contractual provisions that create retention barriers or perverse incentives during transition? Thinking through these scenarios during plan design, rather than at the point of succession, produces far better outcomes.</w:t>
            </w:r>
          </w:p>
        </w:tc>
      </w:tr>
    </w:tbl>
    <w:p>
      <w:pPr>
        <w:spacing w:after="200" w:before="0"/>
      </w:pPr>
      <w:r>
        <w:t xml:space="preserve"/>
      </w:r>
    </w:p>
    <w:p>
      <w:r>
        <w:br w:type="page"/>
      </w:r>
    </w:p>
    <w:p>
      <w:pPr>
        <w:shd w:fill="6B4C9A" w:val="clear"/>
        <w:spacing w:after="0" w:before="480"/>
      </w:pPr>
      <w:r>
        <w:rPr>
          <w:rFonts w:ascii="Arial" w:cs="Arial" w:eastAsia="Arial" w:hAnsi="Arial"/>
          <w:b/>
          <w:bCs/>
          <w:color w:val="FFFFFF"/>
          <w:sz w:val="28"/>
          <w:szCs w:val="28"/>
        </w:rPr>
        <w:t xml:space="preserve">  HR Analytics for Total Rewards  </w:t>
      </w:r>
    </w:p>
    <w:p>
      <w:pPr>
        <w:shd w:fill="6B4C9A" w:val="clear"/>
        <w:spacing w:after="240" w:before="0"/>
      </w:pPr>
      <w:r>
        <w:rPr>
          <w:rFonts w:ascii="Arial" w:cs="Arial" w:eastAsia="Arial" w:hAnsi="Arial"/>
          <w:color w:val="FFFFFF"/>
          <w:sz w:val="18"/>
          <w:szCs w:val="18"/>
        </w:rPr>
        <w:t xml:space="preserve">  Questions Q46 – Q50</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'sentiment analytics' in the context of Total Rewards and how is it applied?</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regulatory requirement for organizations to survey employee sentiment about pay every six months.</w:t>
            </w:r>
          </w:p>
          <w:p>
            <w:pPr>
              <w:spacing w:after="40" w:before="40"/>
            </w:pPr>
            <w:r>
              <w:rPr>
                <w:rFonts w:ascii="Arial" w:cs="Arial" w:eastAsia="Arial" w:hAnsi="Arial"/>
                <w:color w:val="333333"/>
                <w:sz w:val="20"/>
                <w:szCs w:val="20"/>
              </w:rPr>
              <w:t xml:space="preserve">B. A process of asking managers to assess how their team members feel about the organization's reward programs.</w:t>
            </w:r>
          </w:p>
          <w:p>
            <w:pPr>
              <w:spacing w:after="40" w:before="40"/>
            </w:pPr>
            <w:r>
              <w:rPr>
                <w:rFonts w:ascii="Arial" w:cs="Arial" w:eastAsia="Arial" w:hAnsi="Arial"/>
                <w:color w:val="333333"/>
                <w:sz w:val="20"/>
                <w:szCs w:val="20"/>
              </w:rPr>
              <w:t xml:space="preserve">C. The analysis of unstructured employee feedback — from engagement surveys, exit interviews, Glassdoor reviews, internal communication platforms, and pulse surveys — using natural language processing or thematic analysis to identify patterns in how employees feel about specific reward elements, what language they use to describe pay fairness, and what reward-related themes correlate with engagement or turnover signals, providing HR with qualitative insight that quantitative metrics alone cannot capture.</w:t>
            </w:r>
          </w:p>
          <w:p>
            <w:pPr>
              <w:spacing w:after="40" w:before="40"/>
            </w:pPr>
            <w:r>
              <w:rPr>
                <w:rFonts w:ascii="Arial" w:cs="Arial" w:eastAsia="Arial" w:hAnsi="Arial"/>
                <w:color w:val="333333"/>
                <w:sz w:val="20"/>
                <w:szCs w:val="20"/>
              </w:rPr>
              <w:t xml:space="preserve">D. A tool that tracks employee facial expressions during pay review conversations to assess emotional response.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Sentiment analytics in rewards moves beyond satisfaction scores to understand the language, themes, and emotions underlying employee reward perceptions. If exit interview analysis consistently surfaces the phrase 'no opportunity for growth' alongside compensation concerns, the insight is richer than a simple '58% satisfaction with pay' statistic — pointing directly to career development as the compounding factor.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'HR analytics partnership with finance' and why is it essential for Total Rewards strategy?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requirement for all HR analytics reports to be reviewed and signed off by the CFO before being shared with the board.</w:t>
            </w:r>
          </w:p>
          <w:p>
            <w:pPr>
              <w:spacing w:after="40" w:before="40"/>
            </w:pPr>
            <w:r>
              <w:rPr>
                <w:rFonts w:ascii="Arial" w:cs="Arial" w:eastAsia="Arial" w:hAnsi="Arial"/>
                <w:color w:val="333333"/>
                <w:sz w:val="20"/>
                <w:szCs w:val="20"/>
              </w:rPr>
              <w:t xml:space="preserve">B. A collaboration where the finance team handles all HR data analysis so that HR professionals can focus exclusively on people programs.</w:t>
            </w:r>
          </w:p>
          <w:p>
            <w:pPr>
              <w:spacing w:after="40" w:before="40"/>
            </w:pPr>
            <w:r>
              <w:rPr>
                <w:rFonts w:ascii="Arial" w:cs="Arial" w:eastAsia="Arial" w:hAnsi="Arial"/>
                <w:color w:val="333333"/>
                <w:sz w:val="20"/>
                <w:szCs w:val="20"/>
              </w:rPr>
              <w:t xml:space="preserve">C. A process where HR provides finance with employee headcount data for financial reporting purposes.</w:t>
            </w:r>
          </w:p>
          <w:p>
            <w:pPr>
              <w:spacing w:after="40" w:before="40"/>
            </w:pPr>
            <w:r>
              <w:rPr>
                <w:rFonts w:ascii="Arial" w:cs="Arial" w:eastAsia="Arial" w:hAnsi="Arial"/>
                <w:color w:val="333333"/>
                <w:sz w:val="20"/>
                <w:szCs w:val="20"/>
              </w:rPr>
              <w:t xml:space="preserve">D. A collaborative relationship between HR analytics and finance functions — sharing data, modeling assumptions, and aligning on definitions of workforce cost, budget, and return on investment metrics — that enables Total Rewards decisions to be grounded in accurate financial modeling, presented in terms the CFO finds credible, and embedded in the organization's financial planning cycle rather than treated as separate people-program decisions disconnected from business performance.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HR analytics that operates in isolation from finance produces insights that lack financial credibility. When HR and finance share data models, agree on definitions (e.g., what 'total workforce cost' includes), and collaborate on workforce cost forecasting, the resulting analysis speaks the language of the board — enabling reward investment decisions to be made on the same evidence basis as other major business investments.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'predictive pay equity modeling' and how does it extend traditional pay equity analysis?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forward-looking analytical capability that models how current workforce trends — hiring patterns, promotion rates, merit increase distributions, and attrition differentials across demographic groups — will affect future pay gaps if current practices continue unchanged, enabling HR to intervene proactively to change the trajectory rather than waiting to measure outcomes that have already compounded into significant problems.</w:t>
            </w:r>
          </w:p>
          <w:p>
            <w:pPr>
              <w:spacing w:after="40" w:before="40"/>
            </w:pPr>
            <w:r>
              <w:rPr>
                <w:rFonts w:ascii="Arial" w:cs="Arial" w:eastAsia="Arial" w:hAnsi="Arial"/>
                <w:color w:val="333333"/>
                <w:sz w:val="20"/>
                <w:szCs w:val="20"/>
              </w:rPr>
              <w:t xml:space="preserve">B. A model that predicts which employees are most likely to raise a formal pay discrimination grievance in the next 12 months.</w:t>
            </w:r>
          </w:p>
          <w:p>
            <w:pPr>
              <w:spacing w:after="40" w:before="40"/>
            </w:pPr>
            <w:r>
              <w:rPr>
                <w:rFonts w:ascii="Arial" w:cs="Arial" w:eastAsia="Arial" w:hAnsi="Arial"/>
                <w:color w:val="333333"/>
                <w:sz w:val="20"/>
                <w:szCs w:val="20"/>
              </w:rPr>
              <w:t xml:space="preserve">C. An automated system that recalculates all employee salaries quarterly to maintain continuous pay equity.</w:t>
            </w:r>
          </w:p>
          <w:p>
            <w:pPr>
              <w:spacing w:after="40" w:before="40"/>
            </w:pPr>
            <w:r>
              <w:rPr>
                <w:rFonts w:ascii="Arial" w:cs="Arial" w:eastAsia="Arial" w:hAnsi="Arial"/>
                <w:color w:val="333333"/>
                <w:sz w:val="20"/>
                <w:szCs w:val="20"/>
              </w:rPr>
              <w:t xml:space="preserve">D. A regulatory tool required by the EU Pay Transparency Directive for predicting compliance with future pay gap reporting thresholds.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Predictive pay equity modeling shifts the analytical horizon from 'what is our gap today?' to 'what will our gap be in three years if current processes continue?' If analysis shows that current hiring patterns will widen the adjusted gap by 2% by 2027, HR can intervene now — changing offer governance, adjusting merit guidelines, improving promotion rates — rather than discovering the problem after it has compounded.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'compensation survey data validation' and why is it necessary before using survey results?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of reviewing salary survey data before applying it to pay decisions — checking for anomalies such as unusually high or low data points, verifying that the number of data contributors is sufficient to be statistically reliable (typically a minimum of 5 participating companies per data point), confirming that the job matches are appropriate for the roles being priced, and assessing whether the survey's participant mix accurately reflects the organization's relevant labor market.</w:t>
            </w:r>
          </w:p>
          <w:p>
            <w:pPr>
              <w:spacing w:after="40" w:before="40"/>
            </w:pPr>
            <w:r>
              <w:rPr>
                <w:rFonts w:ascii="Arial" w:cs="Arial" w:eastAsia="Arial" w:hAnsi="Arial"/>
                <w:color w:val="333333"/>
                <w:sz w:val="20"/>
                <w:szCs w:val="20"/>
              </w:rPr>
              <w:t xml:space="preserve">B. A regulatory requirement to submit all salary survey data to the government statistics office before using it internally.</w:t>
            </w:r>
          </w:p>
          <w:p>
            <w:pPr>
              <w:spacing w:after="40" w:before="40"/>
            </w:pPr>
            <w:r>
              <w:rPr>
                <w:rFonts w:ascii="Arial" w:cs="Arial" w:eastAsia="Arial" w:hAnsi="Arial"/>
                <w:color w:val="333333"/>
                <w:sz w:val="20"/>
                <w:szCs w:val="20"/>
              </w:rPr>
              <w:t xml:space="preserve">C. A process of comparing salary survey results to the organization's current pay levels to confirm the organization is paying above market.</w:t>
            </w:r>
          </w:p>
          <w:p>
            <w:pPr>
              <w:spacing w:after="40" w:before="40"/>
            </w:pPr>
            <w:r>
              <w:rPr>
                <w:rFonts w:ascii="Arial" w:cs="Arial" w:eastAsia="Arial" w:hAnsi="Arial"/>
                <w:color w:val="333333"/>
                <w:sz w:val="20"/>
                <w:szCs w:val="20"/>
              </w:rPr>
              <w:t xml:space="preserve">D. An annual certification process verifying that the survey provider's methodology meets international compensation research standards.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Survey data validation prevents compensation decisions based on unreliable or misapplied market data. A data point based on only 2 contributing companies may not be statistically representative. A job match that is only 60% equivalent to the internal role will produce misleading benchmarks. Validation is the quality control step that separates informed market pricing from numerical guesswork.</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'Total Rewards analytics board reporting' and what makes it effective?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requirement for listed companies to include all HR analytics data in their annual report to shareholders.</w:t>
            </w:r>
          </w:p>
          <w:p>
            <w:pPr>
              <w:spacing w:after="40" w:before="40"/>
            </w:pPr>
            <w:r>
              <w:rPr>
                <w:rFonts w:ascii="Arial" w:cs="Arial" w:eastAsia="Arial" w:hAnsi="Arial"/>
                <w:color w:val="333333"/>
                <w:sz w:val="20"/>
                <w:szCs w:val="20"/>
              </w:rPr>
              <w:t xml:space="preserve">B. The practice of presenting Total Rewards analytics to the board or remuneration committee in a format and frequency that enables effective governance oversight — focusing on strategic metrics (workforce cost as a percentage of revenue, pay equity progress, market competitiveness, incentive plan performance, key talent retention) rather than operational detail, with clear narrative connecting data to business implications and specific governance decisions required, enabling the board to make informed reward decisions and discharge their oversight responsibilities effectively.</w:t>
            </w:r>
          </w:p>
          <w:p>
            <w:pPr>
              <w:spacing w:after="40" w:before="40"/>
            </w:pPr>
            <w:r>
              <w:rPr>
                <w:rFonts w:ascii="Arial" w:cs="Arial" w:eastAsia="Arial" w:hAnsi="Arial"/>
                <w:color w:val="333333"/>
                <w:sz w:val="20"/>
                <w:szCs w:val="20"/>
              </w:rPr>
              <w:t xml:space="preserve">C. A monthly report submitted to all board members listing every individual pay change made during the period.</w:t>
            </w:r>
          </w:p>
          <w:p>
            <w:pPr>
              <w:spacing w:after="40" w:before="40"/>
            </w:pPr>
            <w:r>
              <w:rPr>
                <w:rFonts w:ascii="Arial" w:cs="Arial" w:eastAsia="Arial" w:hAnsi="Arial"/>
                <w:color w:val="333333"/>
                <w:sz w:val="20"/>
                <w:szCs w:val="20"/>
              </w:rPr>
              <w:t xml:space="preserve">D. An automated dashboard visible to all board members showing real-time payroll expenditure data.</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Board-level Total Rewards reporting requires a fundamentally different approach from operational HR reporting. Boards need strategic signal, not operational noise — they want to know whether reward investment is delivering, whether executive pay is aligned with performance, whether equity is improving, and what decisions require their oversight. Effective board reporting translates analytics into governance-ready insight.</w:t>
            </w:r>
          </w:p>
        </w:tc>
      </w:tr>
    </w:tbl>
    <w:p>
      <w:pPr>
        <w:spacing w:after="20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2026-06-07T13:28:29.401Z</dcterms:created>
  <dcterms:modified xsi:type="dcterms:W3CDTF">2026-06-07T13:28:29.401Z</dcterms:modified>
</cp:coreProperties>
</file>

<file path=docProps/custom.xml><?xml version="1.0" encoding="utf-8"?>
<Properties xmlns="http://schemas.openxmlformats.org/officeDocument/2006/custom-properties" xmlns:vt="http://schemas.openxmlformats.org/officeDocument/2006/docPropsVTypes"/>
</file>