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AC2226" w:rsidP="00AC2226" w14:paraId="70F5B6D4" w14:textId="77777777">
      <w:pPr>
        <w:spacing w:line="480" w:lineRule="auto"/>
        <w:ind w:firstLine="720"/>
        <w:jc w:val="center"/>
        <w:rPr>
          <w:rFonts w:ascii="Times New Roman" w:hAnsi="Times New Roman" w:cs="Times New Roman"/>
          <w:b/>
          <w:bCs/>
        </w:rPr>
      </w:pPr>
    </w:p>
    <w:p w:rsidR="00AC2226" w:rsidP="00AC2226" w14:paraId="027BE61C" w14:textId="77777777">
      <w:pPr>
        <w:spacing w:line="480" w:lineRule="auto"/>
        <w:ind w:firstLine="720"/>
        <w:jc w:val="center"/>
        <w:rPr>
          <w:rFonts w:ascii="Times New Roman" w:hAnsi="Times New Roman" w:cs="Times New Roman"/>
          <w:b/>
          <w:bCs/>
        </w:rPr>
      </w:pPr>
    </w:p>
    <w:p w:rsidR="00AC2226" w:rsidP="00AC2226" w14:paraId="7A7BC088" w14:textId="77777777">
      <w:pPr>
        <w:spacing w:line="480" w:lineRule="auto"/>
        <w:ind w:firstLine="720"/>
        <w:jc w:val="center"/>
        <w:rPr>
          <w:rFonts w:ascii="Times New Roman" w:hAnsi="Times New Roman" w:cs="Times New Roman"/>
          <w:b/>
          <w:bCs/>
        </w:rPr>
      </w:pPr>
    </w:p>
    <w:p w:rsidR="00AC2226" w:rsidP="00AC2226" w14:paraId="3437DC8A" w14:textId="77777777">
      <w:pPr>
        <w:spacing w:line="480" w:lineRule="auto"/>
        <w:ind w:firstLine="720"/>
        <w:jc w:val="center"/>
        <w:rPr>
          <w:rFonts w:ascii="Times New Roman" w:hAnsi="Times New Roman" w:cs="Times New Roman"/>
          <w:b/>
          <w:bCs/>
        </w:rPr>
      </w:pPr>
    </w:p>
    <w:p w:rsidR="00AC2226" w:rsidP="00AC2226" w14:paraId="3E22479B" w14:textId="78962C8C">
      <w:pPr>
        <w:spacing w:line="480" w:lineRule="auto"/>
        <w:ind w:firstLine="720"/>
        <w:jc w:val="center"/>
        <w:rPr>
          <w:rFonts w:ascii="Times New Roman" w:hAnsi="Times New Roman" w:cs="Times New Roman"/>
          <w:b/>
          <w:bCs/>
        </w:rPr>
      </w:pPr>
      <w:r>
        <w:rPr>
          <w:rFonts w:ascii="Times New Roman" w:hAnsi="Times New Roman" w:cs="Times New Roman"/>
          <w:b/>
          <w:bCs/>
        </w:rPr>
        <w:t>T</w:t>
      </w:r>
      <w:r w:rsidRPr="00AC2226">
        <w:rPr>
          <w:rFonts w:ascii="Times New Roman" w:hAnsi="Times New Roman" w:cs="Times New Roman"/>
          <w:b/>
          <w:bCs/>
        </w:rPr>
        <w:t>he Future of Public Personnel Administration</w:t>
      </w:r>
    </w:p>
    <w:p w:rsidR="00AC2226" w:rsidP="00AC2226" w14:paraId="4EC0CB03" w14:textId="77777777">
      <w:pPr>
        <w:spacing w:line="480" w:lineRule="auto"/>
        <w:ind w:firstLine="720"/>
        <w:jc w:val="center"/>
        <w:rPr>
          <w:rFonts w:ascii="Times New Roman" w:hAnsi="Times New Roman" w:cs="Times New Roman"/>
        </w:rPr>
      </w:pPr>
    </w:p>
    <w:p w:rsidR="00AC2226" w:rsidP="00AC2226" w14:paraId="094EF258" w14:textId="77777777">
      <w:pPr>
        <w:spacing w:line="480" w:lineRule="auto"/>
        <w:ind w:firstLine="720"/>
        <w:jc w:val="center"/>
        <w:rPr>
          <w:rFonts w:ascii="Times New Roman" w:hAnsi="Times New Roman" w:cs="Times New Roman"/>
        </w:rPr>
      </w:pPr>
    </w:p>
    <w:p w:rsidR="00AC2226" w:rsidP="00AC2226" w14:paraId="6F0BB509" w14:textId="77777777">
      <w:pPr>
        <w:spacing w:line="480" w:lineRule="auto"/>
        <w:ind w:firstLine="720"/>
        <w:jc w:val="center"/>
        <w:rPr>
          <w:rFonts w:ascii="Times New Roman" w:hAnsi="Times New Roman" w:cs="Times New Roman"/>
        </w:rPr>
      </w:pPr>
    </w:p>
    <w:p w:rsidR="00AC2226" w:rsidRPr="00AC2226" w:rsidP="00AC2226" w14:paraId="10467CC8" w14:textId="34B3C14F">
      <w:pPr>
        <w:spacing w:line="480" w:lineRule="auto"/>
        <w:ind w:firstLine="720"/>
        <w:jc w:val="center"/>
        <w:rPr>
          <w:rFonts w:ascii="Times New Roman" w:hAnsi="Times New Roman" w:cs="Times New Roman"/>
        </w:rPr>
      </w:pPr>
      <w:r w:rsidRPr="00AC2226">
        <w:rPr>
          <w:rFonts w:ascii="Times New Roman" w:hAnsi="Times New Roman" w:cs="Times New Roman"/>
        </w:rPr>
        <w:t>Student’s Name</w:t>
      </w:r>
    </w:p>
    <w:p w:rsidR="00AC2226" w:rsidRPr="00AC2226" w:rsidP="00AC2226" w14:paraId="7B2DCDA2" w14:textId="77777777">
      <w:pPr>
        <w:spacing w:line="480" w:lineRule="auto"/>
        <w:ind w:firstLine="720"/>
        <w:jc w:val="center"/>
        <w:rPr>
          <w:rFonts w:ascii="Times New Roman" w:hAnsi="Times New Roman" w:cs="Times New Roman"/>
        </w:rPr>
      </w:pPr>
      <w:r w:rsidRPr="00AC2226">
        <w:rPr>
          <w:rFonts w:ascii="Times New Roman" w:hAnsi="Times New Roman" w:cs="Times New Roman"/>
        </w:rPr>
        <w:t>Institutional Affiliation</w:t>
      </w:r>
    </w:p>
    <w:p w:rsidR="00AC2226" w:rsidRPr="00AC2226" w:rsidP="00AC2226" w14:paraId="2736BCE9" w14:textId="77777777">
      <w:pPr>
        <w:spacing w:line="480" w:lineRule="auto"/>
        <w:ind w:firstLine="720"/>
        <w:jc w:val="center"/>
        <w:rPr>
          <w:rFonts w:ascii="Times New Roman" w:hAnsi="Times New Roman" w:cs="Times New Roman"/>
        </w:rPr>
      </w:pPr>
      <w:r w:rsidRPr="00AC2226">
        <w:rPr>
          <w:rFonts w:ascii="Times New Roman" w:hAnsi="Times New Roman" w:cs="Times New Roman"/>
        </w:rPr>
        <w:t>Course Name</w:t>
      </w:r>
    </w:p>
    <w:p w:rsidR="00AC2226" w:rsidRPr="00AC2226" w:rsidP="00AC2226" w14:paraId="79F9F043" w14:textId="77777777">
      <w:pPr>
        <w:spacing w:line="480" w:lineRule="auto"/>
        <w:ind w:firstLine="720"/>
        <w:jc w:val="center"/>
        <w:rPr>
          <w:rFonts w:ascii="Times New Roman" w:hAnsi="Times New Roman" w:cs="Times New Roman"/>
        </w:rPr>
      </w:pPr>
      <w:r w:rsidRPr="00AC2226">
        <w:rPr>
          <w:rFonts w:ascii="Times New Roman" w:hAnsi="Times New Roman" w:cs="Times New Roman"/>
        </w:rPr>
        <w:t>Instructor’s Name</w:t>
      </w:r>
    </w:p>
    <w:p w:rsidR="00AC2226" w:rsidRPr="00AC2226" w:rsidP="00AC2226" w14:paraId="3CB62534" w14:textId="04832E55">
      <w:pPr>
        <w:spacing w:line="480" w:lineRule="auto"/>
        <w:ind w:firstLine="720"/>
        <w:jc w:val="center"/>
        <w:rPr>
          <w:rFonts w:ascii="Times New Roman" w:hAnsi="Times New Roman" w:cs="Times New Roman"/>
        </w:rPr>
      </w:pPr>
      <w:r w:rsidRPr="00AC2226">
        <w:rPr>
          <w:rFonts w:ascii="Times New Roman" w:hAnsi="Times New Roman" w:cs="Times New Roman"/>
        </w:rPr>
        <w:t>Date</w:t>
      </w:r>
    </w:p>
    <w:p w:rsidR="00AC2226" w14:paraId="6CDC8E0D" w14:textId="77777777">
      <w:pPr>
        <w:rPr>
          <w:rFonts w:ascii="Times New Roman" w:hAnsi="Times New Roman" w:cs="Times New Roman"/>
          <w:b/>
          <w:bCs/>
        </w:rPr>
      </w:pPr>
      <w:r>
        <w:rPr>
          <w:rFonts w:ascii="Times New Roman" w:hAnsi="Times New Roman" w:cs="Times New Roman"/>
          <w:b/>
          <w:bCs/>
        </w:rPr>
        <w:br w:type="page"/>
      </w:r>
    </w:p>
    <w:p w:rsidR="00AC2226" w:rsidRPr="00AC2226" w:rsidP="00AC2226" w14:paraId="49D59C0C" w14:textId="2F2D0318">
      <w:pPr>
        <w:spacing w:line="480" w:lineRule="auto"/>
        <w:ind w:firstLine="720"/>
        <w:jc w:val="center"/>
        <w:rPr>
          <w:rFonts w:ascii="Times New Roman" w:hAnsi="Times New Roman" w:cs="Times New Roman"/>
          <w:b/>
          <w:bCs/>
        </w:rPr>
      </w:pPr>
      <w:r w:rsidRPr="00AC2226">
        <w:rPr>
          <w:rFonts w:ascii="Times New Roman" w:hAnsi="Times New Roman" w:cs="Times New Roman"/>
          <w:b/>
          <w:bCs/>
        </w:rPr>
        <w:t>The Future of Public Personnel Administration</w:t>
      </w:r>
    </w:p>
    <w:p w:rsidR="00AC2226" w:rsidRPr="00AC2226" w:rsidP="00AC2226" w14:paraId="4421DA47" w14:textId="77777777">
      <w:pPr>
        <w:spacing w:line="480" w:lineRule="auto"/>
        <w:ind w:firstLine="720"/>
        <w:rPr>
          <w:rFonts w:ascii="Times New Roman" w:hAnsi="Times New Roman" w:cs="Times New Roman"/>
        </w:rPr>
      </w:pPr>
      <w:r w:rsidRPr="00AC2226">
        <w:rPr>
          <w:rFonts w:ascii="Times New Roman" w:hAnsi="Times New Roman" w:cs="Times New Roman"/>
        </w:rPr>
        <w:t>Governments have a particular role in society because they have the responsibility of protecting citizens, enforcing laws, and providing essential public services. Public institutions are expected to have democratic principles as their core, such as fairness, accountability, transparency, and equality, unlike private institutions, which make profit as their main principle. That is why it is fair to expect governments to be model employers even if that leads to increased employee costs and better procedural safeguards. Public servants are treated ethically and this contributes to good governance, high public trust, and quality public service provision. While some people say these safeguards can lead to higher prices and fewer goods and services, the drawbacks are outweighed in the long-term.</w:t>
      </w:r>
    </w:p>
    <w:p w:rsidR="00AC2226" w:rsidRPr="00AC2226" w:rsidP="00AC2226" w14:paraId="61BFAEE2" w14:textId="77777777">
      <w:pPr>
        <w:spacing w:line="480" w:lineRule="auto"/>
        <w:ind w:firstLine="720"/>
        <w:rPr>
          <w:rFonts w:ascii="Times New Roman" w:hAnsi="Times New Roman" w:cs="Times New Roman"/>
        </w:rPr>
      </w:pPr>
      <w:r w:rsidRPr="00AC2226">
        <w:rPr>
          <w:rFonts w:ascii="Times New Roman" w:hAnsi="Times New Roman" w:cs="Times New Roman"/>
        </w:rPr>
        <w:t>A primary justification for governments to be model employers is that they create models for other society members. Public institutions impact workplace expectations for wages, equal opportunity, workplace safety and employee rights. By offering fair compensation and respectful treatment for their employees, governments can be an example for private organizations to follow. But when governments are unfair to their own employees, they are less likely to be able to impose fair standards on their employers. The principle of democracy underpins public administration, and the systems of public service employment should embody those values through their emphasis on fairness and respect for all public servants.</w:t>
      </w:r>
    </w:p>
    <w:p w:rsidR="00AC2226" w:rsidRPr="00AC2226" w:rsidP="00AC2226" w14:paraId="11A4ECD2" w14:textId="77777777">
      <w:pPr>
        <w:spacing w:line="480" w:lineRule="auto"/>
        <w:ind w:firstLine="720"/>
        <w:rPr>
          <w:rFonts w:ascii="Times New Roman" w:hAnsi="Times New Roman" w:cs="Times New Roman"/>
        </w:rPr>
      </w:pPr>
      <w:r w:rsidRPr="00AC2226">
        <w:rPr>
          <w:rFonts w:ascii="Times New Roman" w:hAnsi="Times New Roman" w:cs="Times New Roman"/>
        </w:rPr>
        <w:t xml:space="preserve">Another critical reason is that robust labor safeguards enhance the quality and durability of public labor. One of the most challenging professions for public employees is in the healthcare services industry, education, public safety and social services. Professionalism, dedication, and special skills are required for these jobs. Governments can compete for and keep talented staff by providing higher pay, health care, retirement plans, as well as procedural safeguards. Staff who </w:t>
      </w:r>
      <w:r w:rsidRPr="00AC2226">
        <w:rPr>
          <w:rFonts w:ascii="Times New Roman" w:hAnsi="Times New Roman" w:cs="Times New Roman"/>
        </w:rPr>
        <w:t>feel valued are more likely to be motivated, productive and to be able to deliver good public services. Poor working conditions and lack of staff protection, high staff turnover and low staff morale, however, can have a negative effect on citizens accessing the government's services.</w:t>
      </w:r>
    </w:p>
    <w:p w:rsidR="00AC2226" w:rsidRPr="00AC2226" w:rsidP="00AC2226" w14:paraId="7F1DEA29" w14:textId="77777777">
      <w:pPr>
        <w:spacing w:line="480" w:lineRule="auto"/>
        <w:ind w:firstLine="720"/>
        <w:rPr>
          <w:rFonts w:ascii="Times New Roman" w:hAnsi="Times New Roman" w:cs="Times New Roman"/>
        </w:rPr>
      </w:pPr>
      <w:r w:rsidRPr="00AC2226">
        <w:rPr>
          <w:rFonts w:ascii="Times New Roman" w:hAnsi="Times New Roman" w:cs="Times New Roman"/>
        </w:rPr>
        <w:t xml:space="preserve">Procedural protections are particularly relevant in public administration because officials might be subject to political pressure or to mistreatment. Public agencies are subject to political contexts with frequent leadership and policy changes following </w:t>
      </w:r>
      <w:r w:rsidRPr="00AC2226">
        <w:rPr>
          <w:rFonts w:ascii="Times New Roman" w:hAnsi="Times New Roman" w:cs="Times New Roman"/>
        </w:rPr>
        <w:t>elections.If</w:t>
      </w:r>
      <w:r w:rsidRPr="00AC2226">
        <w:rPr>
          <w:rFonts w:ascii="Times New Roman" w:hAnsi="Times New Roman" w:cs="Times New Roman"/>
        </w:rPr>
        <w:t xml:space="preserve"> there are no procedural protections, workers could be fired or disciplined based on their political views, rather than their performance. Merit-based systems and protections provided by due process, rather than favoritism or political loyalty, are used to determine who will be hired by an employer, who will receive advancement and/or promotion, and who will be selected for </w:t>
      </w:r>
      <w:r w:rsidRPr="00AC2226">
        <w:rPr>
          <w:rFonts w:ascii="Times New Roman" w:hAnsi="Times New Roman" w:cs="Times New Roman"/>
        </w:rPr>
        <w:t>consideration. These</w:t>
      </w:r>
      <w:r w:rsidRPr="00AC2226">
        <w:rPr>
          <w:rFonts w:ascii="Times New Roman" w:hAnsi="Times New Roman" w:cs="Times New Roman"/>
        </w:rPr>
        <w:t xml:space="preserve"> safeguards ensure the professionalization of government and stability of government operations even when there are political changes.</w:t>
      </w:r>
    </w:p>
    <w:p w:rsidR="00AC2226" w:rsidRPr="00AC2226" w:rsidP="00AC2226" w14:paraId="39AD17BD" w14:textId="6CD724D5">
      <w:pPr>
        <w:spacing w:line="480" w:lineRule="auto"/>
        <w:ind w:firstLine="720"/>
        <w:rPr>
          <w:rFonts w:ascii="Times New Roman" w:hAnsi="Times New Roman" w:cs="Times New Roman"/>
        </w:rPr>
      </w:pPr>
      <w:r w:rsidRPr="00AC2226">
        <w:rPr>
          <w:rFonts w:ascii="Times New Roman" w:hAnsi="Times New Roman" w:cs="Times New Roman"/>
        </w:rPr>
        <w:t xml:space="preserve">Those who oppose effective </w:t>
      </w:r>
      <w:r w:rsidRPr="00AC2226">
        <w:rPr>
          <w:rFonts w:ascii="Times New Roman" w:hAnsi="Times New Roman" w:cs="Times New Roman"/>
        </w:rPr>
        <w:t>labour</w:t>
      </w:r>
      <w:r w:rsidRPr="00AC2226">
        <w:rPr>
          <w:rFonts w:ascii="Times New Roman" w:hAnsi="Times New Roman" w:cs="Times New Roman"/>
        </w:rPr>
        <w:t xml:space="preserve"> protection say that governments might be less efficient if it is difficult to discipline or terminate </w:t>
      </w:r>
      <w:r w:rsidRPr="00AC2226">
        <w:rPr>
          <w:rFonts w:ascii="Times New Roman" w:hAnsi="Times New Roman" w:cs="Times New Roman"/>
        </w:rPr>
        <w:t>labour</w:t>
      </w:r>
      <w:r w:rsidRPr="00AC2226">
        <w:rPr>
          <w:rFonts w:ascii="Times New Roman" w:hAnsi="Times New Roman" w:cs="Times New Roman"/>
        </w:rPr>
        <w:t xml:space="preserve"> contracts. Others think that too much process leads to bureaucracy, delays in decisions and the burden on taxpayers. The government budget could be affected by an increase in pension, health and salary costs, particularly in times of economic difficulty</w:t>
      </w:r>
      <w:r>
        <w:rPr>
          <w:rFonts w:ascii="Times New Roman" w:hAnsi="Times New Roman" w:cs="Times New Roman"/>
        </w:rPr>
        <w:t xml:space="preserve"> </w:t>
      </w:r>
      <w:r w:rsidRPr="00AC2226">
        <w:rPr>
          <w:rFonts w:ascii="Times New Roman" w:hAnsi="Times New Roman" w:cs="Times New Roman"/>
        </w:rPr>
        <w:t>(</w:t>
      </w:r>
      <w:r w:rsidRPr="00AC2226">
        <w:rPr>
          <w:rFonts w:ascii="Times New Roman" w:hAnsi="Times New Roman" w:cs="Times New Roman"/>
        </w:rPr>
        <w:t>Sunge</w:t>
      </w:r>
      <w:r w:rsidRPr="00AC2226">
        <w:rPr>
          <w:rFonts w:ascii="Times New Roman" w:hAnsi="Times New Roman" w:cs="Times New Roman"/>
        </w:rPr>
        <w:t>, et al., 2025). In some instances, it is said that public sector unions and employment rights can limit managerial flexibilities and make it harder to implement changes.</w:t>
      </w:r>
    </w:p>
    <w:p w:rsidR="00AC2226" w:rsidRPr="00AC2226" w:rsidP="00AC2226" w14:paraId="4074766A" w14:textId="77777777">
      <w:pPr>
        <w:spacing w:line="480" w:lineRule="auto"/>
        <w:ind w:firstLine="720"/>
        <w:rPr>
          <w:rFonts w:ascii="Times New Roman" w:hAnsi="Times New Roman" w:cs="Times New Roman"/>
        </w:rPr>
      </w:pPr>
      <w:r w:rsidRPr="00AC2226">
        <w:rPr>
          <w:rFonts w:ascii="Times New Roman" w:hAnsi="Times New Roman" w:cs="Times New Roman"/>
        </w:rPr>
        <w:t xml:space="preserve">These are valid points, but not ones that can be used to justify a decrease in employee protections or to surrender the idea that governments should serve as good employers. Instead, governments should revise the personnel system to be fair and accountable. This can be done more efficiently and with respect to employee rights through effective evaluation, training, and </w:t>
      </w:r>
      <w:r w:rsidRPr="00AC2226">
        <w:rPr>
          <w:rFonts w:ascii="Times New Roman" w:hAnsi="Times New Roman" w:cs="Times New Roman"/>
        </w:rPr>
        <w:t>clear disciplinary. Governments have the ability to hold their employees to account for poor performance while ensuring important protections against discrimination, retaliation and political interference. The effective public personnel administration must include accountability and employee support.</w:t>
      </w:r>
    </w:p>
    <w:p w:rsidR="00AC2226" w:rsidRPr="00AC2226" w:rsidP="00AC2226" w14:paraId="4EEFA8A8" w14:textId="6F17C9D7">
      <w:pPr>
        <w:spacing w:line="480" w:lineRule="auto"/>
        <w:ind w:firstLine="720"/>
        <w:rPr>
          <w:rFonts w:ascii="Times New Roman" w:hAnsi="Times New Roman" w:cs="Times New Roman"/>
        </w:rPr>
      </w:pPr>
      <w:r w:rsidRPr="00AC2226">
        <w:rPr>
          <w:rFonts w:ascii="Times New Roman" w:hAnsi="Times New Roman" w:cs="Times New Roman"/>
        </w:rPr>
        <w:t>The future of public personnel administration will also be adapting to the evolvement of the expectations from workers and the technology. Diversity, inclusion, flexibility and work-life balance are more significant in the workplace to millennials. Poor, unsupportive and unethical working conditions can make it challenging for the government to recruit skilled employees from other organizations</w:t>
      </w:r>
      <w:r>
        <w:rPr>
          <w:rFonts w:ascii="Times New Roman" w:hAnsi="Times New Roman" w:cs="Times New Roman"/>
        </w:rPr>
        <w:t xml:space="preserve"> </w:t>
      </w:r>
      <w:r w:rsidRPr="00AC2226">
        <w:rPr>
          <w:rFonts w:ascii="Times New Roman" w:hAnsi="Times New Roman" w:cs="Times New Roman"/>
        </w:rPr>
        <w:t>(Rosenbloom, et al., 2022). Furthermore, the remote working trend, the advancement of AI and digital government are changing the way processes work in the public sector. Governments must create work environments that promote the innovativeness, health and learning of their employees so that they remain competitive and efficient.</w:t>
      </w:r>
    </w:p>
    <w:p w:rsidR="00AC2226" w:rsidP="00AC2226" w14:paraId="3D6CF401" w14:textId="4AE978D1">
      <w:pPr>
        <w:spacing w:line="480" w:lineRule="auto"/>
        <w:ind w:firstLine="720"/>
        <w:rPr>
          <w:rFonts w:ascii="Times New Roman" w:hAnsi="Times New Roman" w:cs="Times New Roman"/>
        </w:rPr>
      </w:pPr>
      <w:r w:rsidRPr="00AC2226">
        <w:rPr>
          <w:rFonts w:ascii="Times New Roman" w:hAnsi="Times New Roman" w:cs="Times New Roman"/>
        </w:rPr>
        <w:t xml:space="preserve">To conclude, governments should be held to the standard of acting as model employers even if this means that they end up paying more for </w:t>
      </w:r>
      <w:r w:rsidRPr="00AC2226">
        <w:rPr>
          <w:rFonts w:ascii="Times New Roman" w:hAnsi="Times New Roman" w:cs="Times New Roman"/>
        </w:rPr>
        <w:t>labour</w:t>
      </w:r>
      <w:r w:rsidRPr="00AC2226">
        <w:rPr>
          <w:rFonts w:ascii="Times New Roman" w:hAnsi="Times New Roman" w:cs="Times New Roman"/>
        </w:rPr>
        <w:t xml:space="preserve"> and that the procedures for protecting employees are more extensive. Public institutions are responsible to promote democratic values and establish positive labor standards in society. By being fair towards employees, the workforce is more stable, the public is more confident in its public servants and public service is better. Efficiency and economic considerations must also be considered, but note that this can be achieved by implementing up-to-date management practices rather than by reducing worker protection. Lastly, there is a need for a balance of accountability, fairness, and employee well-being in an ethical and effective public personnel administration.</w:t>
      </w:r>
    </w:p>
    <w:p w:rsidR="00AC2226" w14:paraId="79CCB90C" w14:textId="77777777">
      <w:pPr>
        <w:rPr>
          <w:rFonts w:ascii="Times New Roman" w:hAnsi="Times New Roman" w:cs="Times New Roman"/>
        </w:rPr>
      </w:pPr>
      <w:r>
        <w:rPr>
          <w:rFonts w:ascii="Times New Roman" w:hAnsi="Times New Roman" w:cs="Times New Roman"/>
        </w:rPr>
        <w:br w:type="page"/>
      </w:r>
    </w:p>
    <w:p w:rsidR="00AC2226" w:rsidP="00AC2226" w14:paraId="5F89F784" w14:textId="321C326B">
      <w:pPr>
        <w:spacing w:line="480" w:lineRule="auto"/>
        <w:ind w:firstLine="720"/>
        <w:jc w:val="center"/>
        <w:rPr>
          <w:rFonts w:ascii="Times New Roman" w:hAnsi="Times New Roman" w:cs="Times New Roman"/>
          <w:b/>
          <w:bCs/>
        </w:rPr>
      </w:pPr>
      <w:r w:rsidRPr="00AC2226">
        <w:rPr>
          <w:rFonts w:ascii="Times New Roman" w:hAnsi="Times New Roman" w:cs="Times New Roman"/>
          <w:b/>
          <w:bCs/>
        </w:rPr>
        <w:t>References</w:t>
      </w:r>
    </w:p>
    <w:p w:rsidR="00AC2226" w:rsidRPr="00AC2226" w:rsidP="00AC2226" w14:paraId="132468EF" w14:textId="77777777">
      <w:pPr>
        <w:spacing w:line="480" w:lineRule="auto"/>
        <w:ind w:left="720" w:hanging="720"/>
        <w:rPr>
          <w:rFonts w:ascii="Times New Roman" w:hAnsi="Times New Roman" w:cs="Times New Roman"/>
        </w:rPr>
      </w:pPr>
      <w:r w:rsidRPr="00AC2226">
        <w:rPr>
          <w:rFonts w:ascii="Times New Roman" w:hAnsi="Times New Roman" w:cs="Times New Roman"/>
        </w:rPr>
        <w:t>Rosenbloom, D. H., Kravchuk, R. S., &amp; Clerkin, R. M. (2022). </w:t>
      </w:r>
      <w:r w:rsidRPr="00AC2226">
        <w:rPr>
          <w:rFonts w:ascii="Times New Roman" w:hAnsi="Times New Roman" w:cs="Times New Roman"/>
          <w:i/>
          <w:iCs/>
        </w:rPr>
        <w:t>Public administration: Understanding management, politics, and law in the public sector</w:t>
      </w:r>
      <w:r w:rsidRPr="00AC2226">
        <w:rPr>
          <w:rFonts w:ascii="Times New Roman" w:hAnsi="Times New Roman" w:cs="Times New Roman"/>
        </w:rPr>
        <w:t>. Routledge.</w:t>
      </w:r>
    </w:p>
    <w:p w:rsidR="00AC2226" w:rsidP="00AC2226" w14:paraId="76DA5630" w14:textId="77777777">
      <w:pPr>
        <w:spacing w:line="480" w:lineRule="auto"/>
        <w:ind w:left="720" w:hanging="720"/>
        <w:rPr>
          <w:rFonts w:ascii="Times New Roman" w:hAnsi="Times New Roman" w:cs="Times New Roman"/>
        </w:rPr>
      </w:pPr>
      <w:r w:rsidRPr="00AC2226">
        <w:rPr>
          <w:rFonts w:ascii="Times New Roman" w:hAnsi="Times New Roman" w:cs="Times New Roman"/>
        </w:rPr>
        <w:t>Sunge</w:t>
      </w:r>
      <w:r w:rsidRPr="00AC2226">
        <w:rPr>
          <w:rFonts w:ascii="Times New Roman" w:hAnsi="Times New Roman" w:cs="Times New Roman"/>
        </w:rPr>
        <w:t xml:space="preserve">, R. K., Rachman, E., &amp; </w:t>
      </w:r>
      <w:r w:rsidRPr="00AC2226">
        <w:rPr>
          <w:rFonts w:ascii="Times New Roman" w:hAnsi="Times New Roman" w:cs="Times New Roman"/>
        </w:rPr>
        <w:t>Nggilu</w:t>
      </w:r>
      <w:r w:rsidRPr="00AC2226">
        <w:rPr>
          <w:rFonts w:ascii="Times New Roman" w:hAnsi="Times New Roman" w:cs="Times New Roman"/>
        </w:rPr>
        <w:t>, R. (2025). The Leadership Strategies in Improving the Quality of Public Services at the Department of Education and Culture of Gorontalo Province. </w:t>
      </w:r>
      <w:r w:rsidRPr="00AC2226">
        <w:rPr>
          <w:rFonts w:ascii="Times New Roman" w:hAnsi="Times New Roman" w:cs="Times New Roman"/>
          <w:i/>
          <w:iCs/>
        </w:rPr>
        <w:t>Abdurrauf Social Science</w:t>
      </w:r>
      <w:r w:rsidRPr="00AC2226">
        <w:rPr>
          <w:rFonts w:ascii="Times New Roman" w:hAnsi="Times New Roman" w:cs="Times New Roman"/>
        </w:rPr>
        <w:t>, </w:t>
      </w:r>
      <w:r w:rsidRPr="00AC2226">
        <w:rPr>
          <w:rFonts w:ascii="Times New Roman" w:hAnsi="Times New Roman" w:cs="Times New Roman"/>
          <w:i/>
          <w:iCs/>
        </w:rPr>
        <w:t>2</w:t>
      </w:r>
      <w:r w:rsidRPr="00AC2226">
        <w:rPr>
          <w:rFonts w:ascii="Times New Roman" w:hAnsi="Times New Roman" w:cs="Times New Roman"/>
        </w:rPr>
        <w:t>(2), 274-288.</w:t>
      </w:r>
      <w:r w:rsidRPr="00AC2226">
        <w:t xml:space="preserve"> </w:t>
      </w:r>
      <w:hyperlink r:id="rId4" w:history="1">
        <w:r w:rsidRPr="00AC2226">
          <w:rPr>
            <w:rStyle w:val="Hyperlink"/>
            <w:rFonts w:ascii="Times New Roman" w:hAnsi="Times New Roman" w:cs="Times New Roman"/>
          </w:rPr>
          <w:t>https://journal.abdurraufinstitute.org/index.php/arsos/article/view/397</w:t>
        </w:r>
      </w:hyperlink>
    </w:p>
    <w:sectPr>
      <w:head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Fonts w:ascii="Times New Roman" w:hAnsi="Times New Roman" w:cs="Times New Roman"/>
      </w:rPr>
      <w:id w:val="-1818496276"/>
      <w:docPartObj>
        <w:docPartGallery w:val="Page Numbers (Top of Page)"/>
        <w:docPartUnique/>
      </w:docPartObj>
    </w:sdtPr>
    <w:sdtEndPr>
      <w:rPr>
        <w:noProof/>
      </w:rPr>
    </w:sdtEndPr>
    <w:sdtContent>
      <w:p w:rsidR="00AC2226" w:rsidRPr="00AC2226" w14:paraId="6ECE4C7C" w14:textId="2322EB48">
        <w:pPr>
          <w:pStyle w:val="Header"/>
          <w:jc w:val="right"/>
          <w:rPr>
            <w:rFonts w:ascii="Times New Roman" w:hAnsi="Times New Roman" w:cs="Times New Roman"/>
          </w:rPr>
        </w:pPr>
        <w:r w:rsidRPr="00AC2226">
          <w:rPr>
            <w:rFonts w:ascii="Times New Roman" w:hAnsi="Times New Roman" w:cs="Times New Roman"/>
          </w:rPr>
          <w:fldChar w:fldCharType="begin"/>
        </w:r>
        <w:r w:rsidRPr="00AC2226">
          <w:rPr>
            <w:rFonts w:ascii="Times New Roman" w:hAnsi="Times New Roman" w:cs="Times New Roman"/>
          </w:rPr>
          <w:instrText xml:space="preserve"> PAGE   \* MERGEFORMAT </w:instrText>
        </w:r>
        <w:r w:rsidRPr="00AC2226">
          <w:rPr>
            <w:rFonts w:ascii="Times New Roman" w:hAnsi="Times New Roman" w:cs="Times New Roman"/>
          </w:rPr>
          <w:fldChar w:fldCharType="separate"/>
        </w:r>
        <w:r w:rsidRPr="00AC2226">
          <w:rPr>
            <w:rFonts w:ascii="Times New Roman" w:hAnsi="Times New Roman" w:cs="Times New Roman"/>
            <w:noProof/>
          </w:rPr>
          <w:t>2</w:t>
        </w:r>
        <w:r w:rsidRPr="00AC2226">
          <w:rPr>
            <w:rFonts w:ascii="Times New Roman" w:hAnsi="Times New Roman" w:cs="Times New Roman"/>
            <w:noProof/>
          </w:rPr>
          <w:fldChar w:fldCharType="end"/>
        </w:r>
      </w:p>
    </w:sdtContent>
  </w:sdt>
  <w:p w:rsidR="00AC2226" w:rsidRPr="00AC2226" w14:paraId="5EF703FA" w14:textId="77777777">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226"/>
    <w:rsid w:val="005810B0"/>
    <w:rsid w:val="00AC2226"/>
    <w:rsid w:val="00F4269E"/>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2D0FA1A2"/>
  <w15:chartTrackingRefBased/>
  <w15:docId w15:val="{482A6AE3-4463-4F04-A4AD-5844C467F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2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2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2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2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2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2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2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2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2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2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226"/>
    <w:rPr>
      <w:rFonts w:eastAsiaTheme="majorEastAsia" w:cstheme="majorBidi"/>
      <w:color w:val="272727" w:themeColor="text1" w:themeTint="D8"/>
    </w:rPr>
  </w:style>
  <w:style w:type="paragraph" w:styleId="Title">
    <w:name w:val="Title"/>
    <w:basedOn w:val="Normal"/>
    <w:next w:val="Normal"/>
    <w:link w:val="TitleChar"/>
    <w:uiPriority w:val="10"/>
    <w:qFormat/>
    <w:rsid w:val="00AC2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226"/>
    <w:pPr>
      <w:spacing w:before="160"/>
      <w:jc w:val="center"/>
    </w:pPr>
    <w:rPr>
      <w:i/>
      <w:iCs/>
      <w:color w:val="404040" w:themeColor="text1" w:themeTint="BF"/>
    </w:rPr>
  </w:style>
  <w:style w:type="character" w:customStyle="1" w:styleId="QuoteChar">
    <w:name w:val="Quote Char"/>
    <w:basedOn w:val="DefaultParagraphFont"/>
    <w:link w:val="Quote"/>
    <w:uiPriority w:val="29"/>
    <w:rsid w:val="00AC2226"/>
    <w:rPr>
      <w:i/>
      <w:iCs/>
      <w:color w:val="404040" w:themeColor="text1" w:themeTint="BF"/>
    </w:rPr>
  </w:style>
  <w:style w:type="paragraph" w:styleId="ListParagraph">
    <w:name w:val="List Paragraph"/>
    <w:basedOn w:val="Normal"/>
    <w:uiPriority w:val="34"/>
    <w:qFormat/>
    <w:rsid w:val="00AC2226"/>
    <w:pPr>
      <w:ind w:left="720"/>
      <w:contextualSpacing/>
    </w:pPr>
  </w:style>
  <w:style w:type="character" w:styleId="IntenseEmphasis">
    <w:name w:val="Intense Emphasis"/>
    <w:basedOn w:val="DefaultParagraphFont"/>
    <w:uiPriority w:val="21"/>
    <w:qFormat/>
    <w:rsid w:val="00AC2226"/>
    <w:rPr>
      <w:i/>
      <w:iCs/>
      <w:color w:val="2F5496" w:themeColor="accent1" w:themeShade="BF"/>
    </w:rPr>
  </w:style>
  <w:style w:type="paragraph" w:styleId="IntenseQuote">
    <w:name w:val="Intense Quote"/>
    <w:basedOn w:val="Normal"/>
    <w:next w:val="Normal"/>
    <w:link w:val="IntenseQuoteChar"/>
    <w:uiPriority w:val="30"/>
    <w:qFormat/>
    <w:rsid w:val="00AC22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226"/>
    <w:rPr>
      <w:i/>
      <w:iCs/>
      <w:color w:val="2F5496" w:themeColor="accent1" w:themeShade="BF"/>
    </w:rPr>
  </w:style>
  <w:style w:type="character" w:styleId="IntenseReference">
    <w:name w:val="Intense Reference"/>
    <w:basedOn w:val="DefaultParagraphFont"/>
    <w:uiPriority w:val="32"/>
    <w:qFormat/>
    <w:rsid w:val="00AC2226"/>
    <w:rPr>
      <w:b/>
      <w:bCs/>
      <w:smallCaps/>
      <w:color w:val="2F5496" w:themeColor="accent1" w:themeShade="BF"/>
      <w:spacing w:val="5"/>
    </w:rPr>
  </w:style>
  <w:style w:type="character" w:styleId="Hyperlink">
    <w:name w:val="Hyperlink"/>
    <w:basedOn w:val="DefaultParagraphFont"/>
    <w:uiPriority w:val="99"/>
    <w:unhideWhenUsed/>
    <w:rsid w:val="00AC2226"/>
    <w:rPr>
      <w:color w:val="0563C1" w:themeColor="hyperlink"/>
      <w:u w:val="single"/>
    </w:rPr>
  </w:style>
  <w:style w:type="character" w:styleId="UnresolvedMention">
    <w:name w:val="Unresolved Mention"/>
    <w:basedOn w:val="DefaultParagraphFont"/>
    <w:uiPriority w:val="99"/>
    <w:semiHidden/>
    <w:unhideWhenUsed/>
    <w:rsid w:val="00AC2226"/>
    <w:rPr>
      <w:color w:val="605E5C"/>
      <w:shd w:val="clear" w:color="auto" w:fill="E1DFDD"/>
    </w:rPr>
  </w:style>
  <w:style w:type="paragraph" w:styleId="Header">
    <w:name w:val="header"/>
    <w:basedOn w:val="Normal"/>
    <w:link w:val="HeaderChar"/>
    <w:uiPriority w:val="99"/>
    <w:unhideWhenUsed/>
    <w:rsid w:val="00AC22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226"/>
  </w:style>
  <w:style w:type="paragraph" w:styleId="Footer">
    <w:name w:val="footer"/>
    <w:basedOn w:val="Normal"/>
    <w:link w:val="FooterChar"/>
    <w:uiPriority w:val="99"/>
    <w:unhideWhenUsed/>
    <w:rsid w:val="00AC22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2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journal.abdurraufinstitute.org/index.php/arsos/article/view/397" TargetMode="Externa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986</Words>
  <Characters>5623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kiboi</dc:creator>
  <cp:lastModifiedBy>peter kiboi</cp:lastModifiedBy>
  <cp:revision>1</cp:revision>
  <dcterms:created xsi:type="dcterms:W3CDTF">2026-05-15T01:52:00Z</dcterms:created>
  <dcterms:modified xsi:type="dcterms:W3CDTF">2026-05-15T02:01:00Z</dcterms:modified>
</cp:coreProperties>
</file>