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8"/>
          <w:sz w:val="56"/>
        </w:rPr>
        <w:t>医院数据治理制度与流程模板</w:t>
      </w:r>
    </w:p>
    <w:p>
      <w:pPr>
        <w:jc w:val="center"/>
      </w:pPr>
      <w:r>
        <w:rPr>
          <w:rFonts w:ascii="Noto Sans CJK SC" w:hAnsi="Noto Sans CJK SC" w:eastAsia="Noto Sans CJK SC"/>
          <w:color w:val="5B9BD5"/>
          <w:sz w:val="32"/>
        </w:rPr>
        <w:t>配套互联互通五级乙等与电子病历六级建设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sz w:val="22"/>
        </w:rPr>
        <w:t>章程、职责、标准、主数据、质量、数据使用、接口、闭环/CDSS、证据、运营与表单模板</w:t>
      </w:r>
    </w:p>
    <w:p>
      <w:pPr>
        <w:spacing w:before="1000"/>
        <w:jc w:val="center"/>
      </w:pPr>
      <w:r>
        <w:rPr>
          <w:rFonts w:ascii="Noto Sans CJK SC" w:hAnsi="Noto Sans CJK SC" w:eastAsia="Noto Sans CJK SC"/>
          <w:b/>
        </w:rPr>
        <w:t>V1.0  |  2026年7月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使用说明：</w:t>
            </w:r>
            <w:r>
              <w:rPr>
                <w:rFonts w:ascii="Noto Sans CJK SC" w:hAnsi="Noto Sans CJK SC" w:eastAsia="Noto Sans CJK SC"/>
                <w:sz w:val="19"/>
              </w:rPr>
              <w:t>本文件为制度模板。医院应由治理委员会、医务、护理、质评/病案、药学、网安、法务/伦理和信息管理部门共同评审，补充医院名称、职责、SLA、审批权限和问责方式后正式发布。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目录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 数据治理章程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2 组织与岗位职责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3 数据标准与术语管理办法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4 主数据管理办法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5 元数据、目录与血缘管理办法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6 数据质量管理办法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7 数据分类分级与使用安全管理办法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8 数据服务、接口与事件管理办法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9 临床闭环与CDSS规则管理办法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10 评测证据与配置基线管理办法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11 变更、发布、回退与应急管理办法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12 运营会议、KPI与考核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附录 表单与审批样例</w:t>
      </w:r>
    </w:p>
    <w:p>
      <w:r>
        <w:br w:type="page"/>
      </w:r>
    </w:p>
    <w:p>
      <w:pPr>
        <w:pStyle w:val="Heading1"/>
      </w:pPr>
      <w:r>
        <w:t>1 数据治理章程</w:t>
      </w:r>
    </w:p>
    <w:p>
      <w:pPr>
        <w:pStyle w:val="Heading2"/>
      </w:pPr>
      <w:r>
        <w:t>1.1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建立全院数据治理的决策、责任、制度、流程、平台和监督机制，使数据能够安全、可信、可追溯地服务临床、管理、科研和评价。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适用范围：全院所有信息系统、数据资产、接口、文档、规则、模型、报表、科研数据集和第三方处理活动。</w:t>
      </w:r>
    </w:p>
    <w:p>
      <w:pPr>
        <w:pStyle w:val="Heading2"/>
      </w:pPr>
      <w:r>
        <w:t>1.2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院级治理、业务负责、技术支撑、安全默认、持续运营、证据可核验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数据定义权与责任相匹配，信息部门不替代业务Owner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重大争议和高风险变更由治理委员会裁决</w:t>
      </w:r>
    </w:p>
    <w:p>
      <w:pPr>
        <w:pStyle w:val="Heading2"/>
      </w:pPr>
      <w:r>
        <w:t>1.3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数据治理委员会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批准战略、制度、路线和资源；裁决重大争议；审议年度报告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治理办公室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组织制度执行、项目组合、版本、质量、证据、会议和考核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批准定义、权威源、质量目标、变更、使用和风险处置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数据管家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日常维护标准、质量、问题、映射、目录和证据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实现采集、模型、接口、服务、监控、恢复和技术证据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安全/隐私负责人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分类分级、权限、用途、导出、审计、影响评估和事件响应</w:t>
            </w:r>
          </w:p>
        </w:tc>
      </w:tr>
    </w:tbl>
    <w:p>
      <w:pPr>
        <w:spacing w:after="20"/>
      </w:pPr>
    </w:p>
    <w:p>
      <w:pPr>
        <w:pStyle w:val="Heading2"/>
      </w:pPr>
      <w:r>
        <w:t>1.4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每年制定治理目标和路线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按数据域任命Owner与数据管家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发布制度、标准和平台基线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每月监测质量、服务、闭环、安全和证据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重大问题升级治理委员会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年度成熟度评估和路线更新</w:t>
      </w:r>
    </w:p>
    <w:p>
      <w:pPr>
        <w:pStyle w:val="Heading2"/>
      </w:pPr>
      <w:r>
        <w:t>1.5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章程、任命、制度和年度计划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委员会/办公室会议纪要和决议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数据域Owner和数据管家清单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年度KPI和改进报告</w:t>
      </w:r>
    </w:p>
    <w:p>
      <w:pPr>
        <w:pStyle w:val="Heading2"/>
      </w:pPr>
      <w:r>
        <w:t>1.6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Owner覆盖率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数据域和关键资产100%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问题按期关闭率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P0/P1达到医院SLA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制度执行抽查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每季度随机抽查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口头任命Owner；把治理等同于信息科项目；只在评级前启动治理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 组织与岗位职责</w:t>
      </w:r>
    </w:p>
    <w:p>
      <w:pPr>
        <w:pStyle w:val="Heading2"/>
      </w:pPr>
      <w:r>
        <w:t>2.1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明确决策、管理、执行、监督和使用各方的权责，避免数据问题无人确认或技术部门单方面决策。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适用范围：治理委员会、治理办公室、各业务部门、信息管理部、网安、临床研究和供应商。</w:t>
      </w:r>
    </w:p>
    <w:p>
      <w:pPr>
        <w:pStyle w:val="Heading2"/>
      </w:pPr>
      <w:r>
        <w:t>2.2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每个流程唯一A、责任可追溯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高风险操作职责分离和四眼复核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数据管家应来自业务骨干并有明确工作量</w:t>
      </w:r>
    </w:p>
    <w:p>
      <w:pPr>
        <w:pStyle w:val="Heading2"/>
      </w:pPr>
      <w:r>
        <w:t>2.3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治理委员会主任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召集会议、批准重大事项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治理办公室主任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统筹路线、制度、考核和重大问题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领域Owner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对领域定义、质量、变更和使用最终负责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领域数据管家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维护标准和问题日常运营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数据架构师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设计数据域、主键、模型和服务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MDM审核员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审核疑似匹配、合并拆分和高风险主数据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证据专员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维护条款、证据、有效期和配置基线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安全审计员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独立检查访问、导出和管理员操作</w:t>
            </w:r>
          </w:p>
        </w:tc>
      </w:tr>
    </w:tbl>
    <w:p>
      <w:pPr>
        <w:spacing w:after="20"/>
      </w:pPr>
    </w:p>
    <w:p>
      <w:pPr>
        <w:pStyle w:val="Heading2"/>
      </w:pPr>
      <w:r>
        <w:t>2.4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建立岗位说明书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形成RACI并经委员会批准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配置工作流角色和代理机制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季度复核人员变更和权限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年度绩效考核</w:t>
      </w:r>
    </w:p>
    <w:p>
      <w:pPr>
        <w:pStyle w:val="Heading2"/>
      </w:pPr>
      <w:r>
        <w:t>2.5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岗位任命、RACI、代理人清单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培训和能力评估记录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权限申请和季度复核证据</w:t>
      </w:r>
    </w:p>
    <w:p>
      <w:pPr>
        <w:pStyle w:val="Heading2"/>
      </w:pPr>
      <w:r>
        <w:t>2.6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关键岗位覆盖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100%且有备份人员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数据管家培训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年度不少于2次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权限复核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至少季度一次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同一人申请、批准和执行高风险合并；离职后权限未回收；数据管家只挂名不运营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3 数据标准与术语管理办法</w:t>
      </w:r>
    </w:p>
    <w:p>
      <w:pPr>
        <w:pStyle w:val="Heading2"/>
      </w:pPr>
      <w:r>
        <w:t>3.1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对数据元、值域、术语、代码、指标和共享文档标准进行注册、评审、发布、订阅、变更和退役。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适用范围：国家/行业/院内标准以及FHIR、ICD等国际增强标准。</w:t>
      </w:r>
    </w:p>
    <w:p>
      <w:pPr>
        <w:pStyle w:val="Heading2"/>
      </w:pPr>
      <w:r>
        <w:t>3.2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外部标准优先、院内补充受控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标准必须有版本、生效期、Owner和适用范围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映射关系与标准本身同等治理</w:t>
      </w:r>
    </w:p>
    <w:p>
      <w:pPr>
        <w:pStyle w:val="Heading2"/>
      </w:pPr>
      <w:r>
        <w:t>3.3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标准规范组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维护标准库和发布流程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批准定义、值域和院内扩展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数据管家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维护映射和使用情况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接口/模型负责人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实施字段和契约绑定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配置合法性和一致性规则</w:t>
            </w:r>
          </w:p>
        </w:tc>
      </w:tr>
    </w:tbl>
    <w:p>
      <w:pPr>
        <w:spacing w:after="20"/>
      </w:pPr>
    </w:p>
    <w:p>
      <w:pPr>
        <w:pStyle w:val="Heading2"/>
      </w:pPr>
      <w:r>
        <w:t>3.4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提出标准申请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检索现有标准和重复检查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定义属性、值域、来源和映射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业务/技术/安全评审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测试影响和兼容性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发布版本和通知消费者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监测使用和质量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变更、停用、替代和回退</w:t>
      </w:r>
    </w:p>
    <w:p>
      <w:pPr>
        <w:pStyle w:val="Heading2"/>
      </w:pPr>
      <w:r>
        <w:t>3.5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标准注册单、值域维护单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版本发布包和ConceptMap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影响分析、测试和订阅回执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停用公告和替代关系</w:t>
      </w:r>
    </w:p>
    <w:p>
      <w:pPr>
        <w:pStyle w:val="Heading2"/>
      </w:pPr>
      <w:r>
        <w:t>3.6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关键数据元绑定率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关键值域合法率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&gt;=99%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标准变更通知回执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只导入国家字典不维护院内映射；直接覆盖旧代码；标准名称相同就认为语义相同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4 主数据管理办法</w:t>
      </w:r>
    </w:p>
    <w:p>
      <w:pPr>
        <w:pStyle w:val="Heading2"/>
      </w:pPr>
      <w:r>
        <w:t>4.1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统一患者、组织、人员、位置床位、药品、项目、设备耗材等跨系统核心对象，并确保变更可审核、可发布、可回滚。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适用范围：所有主数据生产者和消费者。</w:t>
      </w:r>
    </w:p>
    <w:p>
      <w:pPr>
        <w:pStyle w:val="Heading2"/>
      </w:pPr>
      <w:r>
        <w:t>4.2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企业键+自然键+源交叉键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字段级权威源和生存规则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历史有效期、停用替代和审计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患者误合并零容忍</w:t>
      </w:r>
    </w:p>
    <w:p>
      <w:pPr>
        <w:pStyle w:val="Heading2"/>
      </w:pPr>
      <w:r>
        <w:t>4.3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批准主数据规则和变更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MDM负责人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运营模型、匹配、黄金记录和发布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审核员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人工仲裁、四眼和拆分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源系统Owner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回源整改和接口质量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消费者Owner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幂等消费、回执和异常反馈</w:t>
            </w:r>
          </w:p>
        </w:tc>
      </w:tr>
    </w:tbl>
    <w:p>
      <w:pPr>
        <w:spacing w:after="20"/>
      </w:pPr>
    </w:p>
    <w:p>
      <w:pPr>
        <w:pStyle w:val="Heading2"/>
      </w:pPr>
      <w:r>
        <w:t>4.4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主数据申请/采集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标准化和质量校验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匹配/冲突/影响分析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自动或人工审核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生成新版本黄金记录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发布API/事件/快照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消费者回执和对账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监测、回滚和问题关闭</w:t>
      </w:r>
    </w:p>
    <w:p>
      <w:pPr>
        <w:pStyle w:val="Heading2"/>
      </w:pPr>
      <w:r>
        <w:t>4.5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匹配规则、阈值和生存规则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审核、合并、拆分和回滚记录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发布事件、消费者回执和对账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重复率、疑似池和误合并指标</w:t>
      </w:r>
    </w:p>
    <w:p>
      <w:pPr>
        <w:pStyle w:val="Heading2"/>
      </w:pPr>
      <w:r>
        <w:t>4.6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企业ID覆盖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患者误合并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高风险操作审计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消费者回执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关键系统100%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患者只用身份证匹配；合并不可拆分；停用对象物理删除；下游不做幂等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5 元数据、目录与血缘管理办法</w:t>
      </w:r>
    </w:p>
    <w:p>
      <w:pPr>
        <w:pStyle w:val="Heading2"/>
      </w:pPr>
      <w:r>
        <w:t>5.1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建立业务、技术和操作元数据，形成可信数据资产目录和端到端血缘。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适用范围：数据库、文件、API、事件、文档、报表、指标、规则、数据集、模型和证据。</w:t>
      </w:r>
    </w:p>
    <w:p>
      <w:pPr>
        <w:pStyle w:val="Heading2"/>
      </w:pPr>
      <w:r>
        <w:t>5.2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自动采集与人工补充结合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无Owner/定义/质量/安全的资产不得认证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血缘用于影响分析和问题定位</w:t>
      </w:r>
    </w:p>
    <w:p>
      <w:pPr>
        <w:pStyle w:val="Heading2"/>
      </w:pPr>
      <w:r>
        <w:t>5.3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元数据负责人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管理采集、模型和目录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资产Owner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维护业务定义和认证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数据管家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补充词汇、标签、质量和使用说明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平台团队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接入技术元数据和运行元数据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维护分类分级和访问策略</w:t>
            </w:r>
          </w:p>
        </w:tc>
      </w:tr>
    </w:tbl>
    <w:p>
      <w:pPr>
        <w:spacing w:after="20"/>
      </w:pPr>
    </w:p>
    <w:p>
      <w:pPr>
        <w:pStyle w:val="Heading2"/>
      </w:pPr>
      <w:r>
        <w:t>5.4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登记来源和采集连接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自动采集技术元数据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补充业务定义、Owner和标签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绑定标准、质量、安全和SLA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解析血缘和消费者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资产认证和发布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监测热度、新鲜度和过期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变更影响和退役</w:t>
      </w:r>
    </w:p>
    <w:p>
      <w:pPr>
        <w:pStyle w:val="Heading2"/>
      </w:pPr>
      <w:r>
        <w:t>5.5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元数据采集记录、资产认证单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血缘图、影响报告和使用日志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过期资产、孤儿资产和无Owner清单</w:t>
      </w:r>
    </w:p>
    <w:p>
      <w:pPr>
        <w:pStyle w:val="Heading2"/>
      </w:pPr>
      <w:r>
        <w:t>5.6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关键资产Owner覆盖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关键链路血缘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字段级完整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元数据新鲜度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按日/实时更新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只抓库表名；只画ETL血缘；过期资产仍标记可信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6 数据质量管理办法</w:t>
      </w:r>
    </w:p>
    <w:p>
      <w:pPr>
        <w:pStyle w:val="Heading2"/>
      </w:pPr>
      <w:r>
        <w:t>6.1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建立事前预防、事中监控、事后整改和持续改进的数据质量体系。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适用范围：主数据、参考数据、临床事实、文档、接口、指标、科研数据集和模型输入。</w:t>
      </w:r>
    </w:p>
    <w:p>
      <w:pPr>
        <w:pStyle w:val="Heading2"/>
      </w:pPr>
      <w:r>
        <w:t>6.2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业务Owner对质量目标负责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P0规则门禁化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问题必须回源、根因和复测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告警分级降噪</w:t>
      </w:r>
    </w:p>
    <w:p>
      <w:pPr>
        <w:pStyle w:val="Heading2"/>
      </w:pPr>
      <w:r>
        <w:t>6.3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规则框架、平台和运营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批准规则、阈值和例外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数据管家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分析问题和推动回源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修复采集、转换和系统问题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审计/证据专员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归档质量证据</w:t>
            </w:r>
          </w:p>
        </w:tc>
      </w:tr>
    </w:tbl>
    <w:p>
      <w:pPr>
        <w:spacing w:after="20"/>
      </w:pPr>
    </w:p>
    <w:p>
      <w:pPr>
        <w:pStyle w:val="Heading2"/>
      </w:pPr>
      <w:r>
        <w:t>6.4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剖析和基线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定义规则/阈值/严重度/SLA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规则评审和测试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部署到采集/发布/消费门禁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告警与问题工单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止损和根因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回源修复/中央补偿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复测关闭和防复发</w:t>
      </w:r>
    </w:p>
    <w:p>
      <w:pPr>
        <w:pStyle w:val="Heading2"/>
      </w:pPr>
      <w:r>
        <w:t>6.5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规则注册和版本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质量运行、样本安全引用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工单、根因、修复和复测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月度质量报告</w:t>
      </w:r>
    </w:p>
    <w:p>
      <w:pPr>
        <w:pStyle w:val="Heading2"/>
      </w:pPr>
      <w:r>
        <w:t>6.6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关键字段完整率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&gt;=98%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值域合法率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&gt;=99%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P0按期关闭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重复问题下降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按季度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只做质量报表；直接改中央库不回源；所有异常同一级别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7 数据分类分级与使用安全管理办法</w:t>
      </w:r>
    </w:p>
    <w:p>
      <w:pPr>
        <w:pStyle w:val="Heading2"/>
      </w:pPr>
      <w:r>
        <w:t>7.1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保护医疗健康敏感信息，确保访问、共享、科研和AI使用合法、正当、必要、最小和可审计。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适用范围：数据采集、存储、传输、使用、共享、导出、归档和销毁。</w:t>
      </w:r>
    </w:p>
    <w:p>
      <w:pPr>
        <w:pStyle w:val="Heading2"/>
      </w:pPr>
      <w:r>
        <w:t>7.2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默认最小权限和最小字段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用途绑定和到期失效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高度敏感数据强审计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科研AI使用安全沙箱和去标识</w:t>
      </w:r>
    </w:p>
    <w:p>
      <w:pPr>
        <w:pStyle w:val="Heading2"/>
      </w:pPr>
      <w:r>
        <w:t>7.3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确认用途和必要性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安全/隐私负责人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分类分级、影响评估和控制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伦理/临床研究部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科研伦理和课题合规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数据平台主管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执行权限、脱敏、导出和销毁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审计员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独立检查异常访问</w:t>
            </w:r>
          </w:p>
        </w:tc>
      </w:tr>
    </w:tbl>
    <w:p>
      <w:pPr>
        <w:spacing w:after="20"/>
      </w:pPr>
    </w:p>
    <w:p>
      <w:pPr>
        <w:pStyle w:val="Heading2"/>
      </w:pPr>
      <w:r>
        <w:t>7.4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数据集/字段分类分级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提出使用申请和最小化说明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Owner/安全/伦理审批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配置环境、权限、去标识和水印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受控使用和审计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到期提醒、权限回收、归档/销毁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复核和影响评估</w:t>
      </w:r>
    </w:p>
    <w:p>
      <w:pPr>
        <w:pStyle w:val="Heading2"/>
      </w:pPr>
      <w:r>
        <w:t>7.5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分类分级记录、数据使用申请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权限、导出、水印和访问日志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去标识方案、伦理批件和销毁证明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个人信息保护影响评估</w:t>
      </w:r>
    </w:p>
    <w:p>
      <w:pPr>
        <w:pStyle w:val="Heading2"/>
      </w:pPr>
      <w:r>
        <w:t>7.6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敏感访问审计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到期权限回收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未经审批导出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季度权限复核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100%完成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科研人员直连生产库；测试数据包含真实明文；日志记录证件/手机号；共享后无到期和销毁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8 数据服务、接口与事件管理办法</w:t>
      </w:r>
    </w:p>
    <w:p>
      <w:pPr>
        <w:pStyle w:val="Heading2"/>
      </w:pPr>
      <w:r>
        <w:t>8.1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统一管理API、FHIR、共享文档、事件和批量服务的契约、安全、SLA、消费者和生命周期。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适用范围：所有内部、外部和上级平台交换服务。</w:t>
      </w:r>
    </w:p>
    <w:p>
      <w:pPr>
        <w:pStyle w:val="Heading2"/>
      </w:pPr>
      <w:r>
        <w:t>8.2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契约先行、版本兼容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消费者登记、用途明确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幂等、重试、死信和回执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服务与数据质量联动</w:t>
      </w:r>
    </w:p>
    <w:p>
      <w:pPr>
        <w:pStyle w:val="Heading2"/>
      </w:pPr>
      <w:r>
        <w:t>8.3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负责服务SLA和生命周期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批准语义和字段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接口架构师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设计契约和可靠性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批准Scope、用途和脱敏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消费者Owner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正确消费、回执和异常反馈</w:t>
            </w:r>
          </w:p>
        </w:tc>
      </w:tr>
    </w:tbl>
    <w:p>
      <w:pPr>
        <w:spacing w:after="20"/>
      </w:pPr>
    </w:p>
    <w:p>
      <w:pPr>
        <w:pStyle w:val="Heading2"/>
      </w:pPr>
      <w:r>
        <w:t>8.4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登记服务和消费者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定义OpenAPI/FHIR/事件Schema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数据/安全/可靠性评审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契约和性能测试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灰度上线和监控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运行、SLA和质量运营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版本升级/弃用通知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下线和证据归档</w:t>
      </w:r>
    </w:p>
    <w:p>
      <w:pPr>
        <w:pStyle w:val="Heading2"/>
      </w:pPr>
      <w:r>
        <w:t>8.5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接口登记、消费者清单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契约、权限、测试和网关配置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SLA、调用、错误、重试、死信和审计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弃用和下线证据</w:t>
      </w:r>
    </w:p>
    <w:p>
      <w:pPr>
        <w:pStyle w:val="Heading2"/>
      </w:pPr>
      <w:r>
        <w:t>8.6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接口目录覆盖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契约测试通过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关键服务可用性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&gt;=99.9%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消费者登记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数据库直连替代契约；无幂等的写接口；升级不通知消费者；Topic长期无Owner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9 临床闭环与CDSS规则管理办法</w:t>
      </w:r>
    </w:p>
    <w:p>
      <w:pPr>
        <w:pStyle w:val="Heading2"/>
      </w:pPr>
      <w:r>
        <w:t>9.1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确保临床闭环和决策支持在数据、流程、规则、异常、效果和临床安全方面持续受控。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适用范围：给药、标本、危急值、输血、检查、手术、护理、会诊、病历等闭环及知识/CDSS。</w:t>
      </w:r>
    </w:p>
    <w:p>
      <w:pPr>
        <w:pStyle w:val="Heading2"/>
      </w:pPr>
      <w:r>
        <w:t>9.2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临床Owner最终负责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状态机必须含异常和补偿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高风险规则仿真/影子/灰度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评价采纳、处置和结局</w:t>
      </w:r>
    </w:p>
    <w:p>
      <w:pPr>
        <w:pStyle w:val="Heading2"/>
      </w:pPr>
      <w:r>
        <w:t>9.3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医务/护理/药学Owner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批准闭环和规则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临床专家组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审查依据、风险和效果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CDSS负责人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规则建模、仿真、发布和监测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平台团队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实现事件、工作流、SLA和回退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安全/质量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检查输入质量、权限和审计</w:t>
            </w:r>
          </w:p>
        </w:tc>
      </w:tr>
    </w:tbl>
    <w:p>
      <w:pPr>
        <w:spacing w:after="20"/>
      </w:pPr>
    </w:p>
    <w:p>
      <w:pPr>
        <w:pStyle w:val="Heading2"/>
      </w:pPr>
      <w:r>
        <w:t>9.4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登记场景/规则和风险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定义状态机/输入/人群/动作/指标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数据质量和历史仿真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临床双人审批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影子运行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灰度发布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运行效果和安全监测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调整/暂停/回滚/退役</w:t>
      </w:r>
    </w:p>
    <w:p>
      <w:pPr>
        <w:pStyle w:val="Heading2"/>
      </w:pPr>
      <w:r>
        <w:t>9.5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闭环定义、规则注册和指南依据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仿真、影子、灰度和UAT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命中、采纳、处置、结局和投诉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回滚、退役和临床安全评审</w:t>
      </w:r>
    </w:p>
    <w:p>
      <w:pPr>
        <w:pStyle w:val="Heading2"/>
      </w:pPr>
      <w:r>
        <w:t>9.6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关键节点完整率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高风险规则审批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超时升级有效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规则年度复评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只看提醒次数；规则由技术人员单独上线；闭环异常路径未测试；规则停用后历史不可追溯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10 评测证据与配置基线管理办法</w:t>
      </w:r>
    </w:p>
    <w:p>
      <w:pPr>
        <w:pStyle w:val="Heading2"/>
      </w:pPr>
      <w:r>
        <w:t>10.1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建立可持续、可复现的条款、交付物、运行和版本证据体系。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适用范围：互联互通、电子病历、等保、内部验收和重大变更。</w:t>
      </w:r>
    </w:p>
    <w:p>
      <w:pPr>
        <w:pStyle w:val="Heading2"/>
      </w:pPr>
      <w:r>
        <w:t>10.2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证据与条款/资产/版本双向关联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运行数据优先于截图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证据有Owner、哈希、有效期和复核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申报版本冻结可回退</w:t>
      </w:r>
    </w:p>
    <w:p>
      <w:pPr>
        <w:pStyle w:val="Heading2"/>
      </w:pPr>
      <w:r>
        <w:t>10.3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评级/证据办公室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维护条款、差距、证据和模拟评审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条款Owner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对交付物和证据真实性负责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提供配置和运行数据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验证应用效果并签字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审计员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随机抽查可复现性</w:t>
            </w:r>
          </w:p>
        </w:tc>
      </w:tr>
    </w:tbl>
    <w:p>
      <w:pPr>
        <w:spacing w:after="20"/>
      </w:pPr>
    </w:p>
    <w:p>
      <w:pPr>
        <w:pStyle w:val="Heading2"/>
      </w:pPr>
      <w:r>
        <w:t>10.4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建立条款库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为条款分配交付物和责任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持续自动/人工采集证据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复核、哈希和有效期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月度差距和过期检查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模拟评测和整改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冻结申报版本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申报后归档和复盘</w:t>
      </w:r>
    </w:p>
    <w:p>
      <w:pPr>
        <w:pStyle w:val="Heading2"/>
      </w:pPr>
      <w:r>
        <w:t>10.5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条款映射、证据登记和哈希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运行报表、配置导出、测试和签字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模拟评测问题和关闭证据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版本基线和冻结清单</w:t>
      </w:r>
    </w:p>
    <w:p>
      <w:pPr>
        <w:pStyle w:val="Heading2"/>
      </w:pPr>
      <w:r>
        <w:t>10.6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条款责任覆盖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证据完整率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申报前100%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随机复现通过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过期证据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把截图当唯一证据；证据无版本和时间范围；申报前临时补材料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11 变更、发布、回退与应急管理办法</w:t>
      </w:r>
    </w:p>
    <w:p>
      <w:pPr>
        <w:pStyle w:val="Heading2"/>
      </w:pPr>
      <w:r>
        <w:t>11.1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确保标准、模型、主数据、接口、规则和平台变更可评估、可测试、可灰度、可回退、可审计。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适用范围：所有生产变更和重大数据修复。</w:t>
      </w:r>
    </w:p>
    <w:p>
      <w:pPr>
        <w:pStyle w:val="Heading2"/>
      </w:pPr>
      <w:r>
        <w:t>11.2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影响分析先于实施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临床安全和患者主数据高风险变更四眼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配置/代码/数据版本一致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回退必须覆盖下游补偿</w:t>
      </w:r>
    </w:p>
    <w:p>
      <w:pPr>
        <w:pStyle w:val="Heading2"/>
      </w:pPr>
      <w:r>
        <w:t>11.3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变更申请人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说明目的、范围和风险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变更委员会/Owner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审批业务和风险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技术实施人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开发、测试、发布和回退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安全/临床安全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高风险独立评审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值守和审计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监控、响应和证据</w:t>
            </w:r>
          </w:p>
        </w:tc>
      </w:tr>
    </w:tbl>
    <w:p>
      <w:pPr>
        <w:spacing w:after="20"/>
      </w:pPr>
    </w:p>
    <w:p>
      <w:pPr>
        <w:pStyle w:val="Heading2"/>
      </w:pPr>
      <w:r>
        <w:t>11.4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提交变更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血缘/消费者/条款影响分析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风险分级和审批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开发与多层测试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备份和回退演练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灰度发布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监控和业务确认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关闭或回退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根因和防复发</w:t>
      </w:r>
    </w:p>
    <w:p>
      <w:pPr>
        <w:pStyle w:val="Heading2"/>
      </w:pPr>
      <w:r>
        <w:t>11.5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变更单、影响清单和审批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测试、备份、回退和发布记录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运行监控、下游回执和业务签字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异常、应急和根因报告</w:t>
      </w:r>
    </w:p>
    <w:p>
      <w:pPr>
        <w:pStyle w:val="Heading2"/>
      </w:pPr>
      <w:r>
        <w:t>11.6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高风险回退演练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未授权生产变更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变更成功率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持续监测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重大事故复盘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24小时内启动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直接生产改数据；只回滚中央库不补偿下游；规则/映射不进版本库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12 运营会议、KPI与考核</w:t>
      </w:r>
    </w:p>
    <w:p>
      <w:pPr>
        <w:pStyle w:val="Heading2"/>
      </w:pPr>
      <w:r>
        <w:t>12.1 目的与范围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把数据治理从专项项目转为医院常态运营。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适用范围：治理委员会、治理办公室、各数据域、平台和供应商。</w:t>
      </w:r>
    </w:p>
    <w:p>
      <w:pPr>
        <w:pStyle w:val="Heading2"/>
      </w:pPr>
      <w:r>
        <w:t>12.2 管理原则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KPI兼顾质量、使用、安全和业务效果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问题考核聚焦根因和改进，不鼓励隐藏问题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业务Owner和技术Owner共同承担</w:t>
      </w:r>
    </w:p>
    <w:p>
      <w:pPr>
        <w:pStyle w:val="Heading2"/>
      </w:pPr>
      <w:r>
        <w:t>12.3 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角色/部门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治理办公室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汇总KPI、组织会议和推动行动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各Owner/管家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解释指标、提出整改和复盘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平台运营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提供可信运行数据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人事/绩效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将职责纳入岗位和考核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</w:t>
            </w:r>
          </w:p>
        </w:tc>
        <w:tc>
          <w:tcPr>
            <w:tcW w:type="dxa" w:w="70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检查数据真实性</w:t>
            </w:r>
          </w:p>
        </w:tc>
      </w:tr>
    </w:tbl>
    <w:p>
      <w:pPr>
        <w:spacing w:after="20"/>
      </w:pPr>
    </w:p>
    <w:p>
      <w:pPr>
        <w:pStyle w:val="Heading2"/>
      </w:pPr>
      <w:r>
        <w:t>12.4 管理流程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每日P0告警值守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每周项目和风险例会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双周标准/规则评审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月度质量/服务/闭环/证据会议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季度治理委员会和演练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0"/>
        </w:rPr>
        <w:t>年度成熟度评估和绩效复盘</w:t>
      </w:r>
    </w:p>
    <w:p>
      <w:pPr>
        <w:pStyle w:val="Heading2"/>
      </w:pPr>
      <w:r>
        <w:t>12.5 记录与证据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会议纪要、KPI报表和行动清单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整改、复测和关闭证据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年度治理报告</w:t>
      </w:r>
    </w:p>
    <w:p>
      <w:pPr>
        <w:pStyle w:val="Heading2"/>
      </w:pPr>
      <w:r>
        <w:t>12.6 KPI与检查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建议目标/检查方式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质量达标率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按域设目标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问题按期关闭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P0/P1按SLA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服务SLA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按服务等级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闭环/规则效果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采纳、处置和结局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证据完整率</w:t>
            </w:r>
          </w:p>
        </w:tc>
        <w:tc>
          <w:tcPr>
            <w:tcW w:type="dxa" w:w="595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持续&gt;=95%，申报100%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859"/>
      </w:tblGrid>
      <w:tr>
        <w:tc>
          <w:tcPr>
            <w:tcW w:type="dxa" w:w="9859"/>
            <w:shd w:fill="F4CC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禁止事项：</w:t>
            </w:r>
            <w:r>
              <w:rPr>
                <w:rFonts w:ascii="Noto Sans CJK SC" w:hAnsi="Noto Sans CJK SC" w:eastAsia="Noto Sans CJK SC"/>
                <w:sz w:val="19"/>
              </w:rPr>
              <w:t>只考核问题数量导致瞒报；KPI无数据来源和口径；会议无行动和复测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表单与审批样例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可编辑的完整表单字段已放在《治理表单模板集.xlsx》。本附录给出关键审批结构，便于制度发布时引用。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审批链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标准/值域发布审批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申请—标准组预审—业务Owner—技术影响—安全—发布—消费者回执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患者疑似合并审批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算法候选—审核员—高风险四眼—业务Owner—发布—下游回执—观察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数据质量问题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告警—严重度—Owner—止损—根因—源头修复—复测—关闭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数据使用/导出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申请—最小化—Owner—安全/伦理—环境/去标识—使用—到期—销毁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接口上线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登记—契约—数据/安全/可靠性评审—测试—灰度—监控—消费者确认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CDSS规则发布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依据—建模—仿真—临床审批—影子—灰度—效果监测—退役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第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医院数据治理制度与流程模板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F4E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治理提示">
    <w:name w:val="治理提示"/>
    <w:pPr>
      <w:spacing w:before="80" w:after="80"/>
      <w:ind w:left="340" w:right="340"/>
    </w:pPr>
    <w:rPr>
      <w:rFonts w:ascii="Noto Sans CJK SC" w:hAnsi="Noto Sans CJK SC" w:eastAsia="Noto Sans CJK SC"/>
      <w:color w:val="7F6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