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大型三甲医院数据治理平台</w:t>
      </w:r>
    </w:p>
    <w:p>
      <w:pPr>
        <w:jc w:val="center"/>
      </w:pPr>
      <w:r>
        <w:rPr>
          <w:rFonts w:ascii="Noto Sans CJK SC" w:hAnsi="Noto Sans CJK SC" w:eastAsia="Noto Sans CJK SC"/>
          <w:color w:val="466887"/>
          <w:sz w:val="32"/>
        </w:rPr>
        <w:t>建设失败案例、反模式、预警信号与复盘手册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文档版本</w:t>
            </w:r>
          </w:p>
        </w:tc>
        <w:tc>
          <w:tcPr>
            <w:tcW w:type="dxa" w:w="50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5061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设计基线日期</w:t>
            </w:r>
          </w:p>
        </w:tc>
        <w:tc>
          <w:tcPr>
            <w:tcW w:type="dxa" w:w="50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2026-07-15</w:t>
            </w:r>
          </w:p>
        </w:tc>
      </w:tr>
      <w:tr>
        <w:tc>
          <w:tcPr>
            <w:tcW w:type="dxa" w:w="5061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适用对象</w:t>
            </w:r>
          </w:p>
        </w:tc>
        <w:tc>
          <w:tcPr>
            <w:tcW w:type="dxa" w:w="50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大型综合三级甲等医院、多院区医疗集团</w:t>
            </w:r>
          </w:p>
        </w:tc>
      </w:tr>
      <w:tr>
        <w:tc>
          <w:tcPr>
            <w:tcW w:type="dxa" w:w="5061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文档用途</w:t>
            </w:r>
          </w:p>
        </w:tc>
        <w:tc>
          <w:tcPr>
            <w:tcW w:type="dxa" w:w="50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立项、招标、详细设计、PoC、实施、验收与运行交接</w:t>
            </w:r>
          </w:p>
        </w:tc>
      </w:tr>
      <w:tr>
        <w:tc>
          <w:tcPr>
            <w:tcW w:type="dxa" w:w="5061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保密级别</w:t>
            </w:r>
          </w:p>
        </w:tc>
        <w:tc>
          <w:tcPr>
            <w:tcW w:type="dxa" w:w="50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医院内部/项目受控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785014"/>
          <w:sz w:val="18"/>
        </w:rPr>
        <w:t>本说明书给出可落地的参考架构与验收基线。具体品牌、版本、数量和参数须以医院真实数据剖析、兼容性PoC、性能压测和安全评审为准。</w:t>
      </w:r>
    </w:p>
    <w:p>
      <w:r>
        <w:br w:type="page"/>
      </w:r>
    </w:p>
    <w:p>
      <w:pPr>
        <w:pStyle w:val="Heading1"/>
      </w:pPr>
      <w:r>
        <w:t>使用说明</w:t>
      </w:r>
    </w:p>
    <w:p>
      <w:r>
        <w:rPr>
          <w:rFonts w:ascii="Noto Sans CJK SC" w:hAnsi="Noto Sans CJK SC" w:eastAsia="Noto Sans CJK SC"/>
        </w:rPr>
        <w:t>本手册用于方案评审、招标条款、PoC、上线Go/No-Go、重大故障和阶段复盘。公开案例用于提取普适教训；“综合案例”是对医院项目常见反模式的归纳，不指向某一家具体医院或厂商。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016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复盘原则</w:t>
            </w:r>
          </w:p>
        </w:tc>
        <w:tc>
          <w:tcPr>
            <w:tcW w:type="dxa" w:w="8352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01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患者安全优先</w:t>
            </w:r>
          </w:p>
        </w:tc>
        <w:tc>
          <w:tcPr>
            <w:tcW w:type="dxa" w:w="835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所有患者身份、药品、医嘱和临床接口问题先评估患者影响，不能只按IT故障处理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事实与证据</w:t>
            </w:r>
          </w:p>
        </w:tc>
        <w:tc>
          <w:tcPr>
            <w:tcW w:type="dxa" w:w="83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保留时间线、日志、版本、数据快照、告警、操作和决策记录</w:t>
            </w:r>
          </w:p>
        </w:tc>
      </w:tr>
      <w:tr>
        <w:tc>
          <w:tcPr>
            <w:tcW w:type="dxa" w:w="201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系统性根因</w:t>
            </w:r>
          </w:p>
        </w:tc>
        <w:tc>
          <w:tcPr>
            <w:tcW w:type="dxa" w:w="835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区分直接原因、促成因素、组织/流程/技术控制缺失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不归咎个人</w:t>
            </w:r>
          </w:p>
        </w:tc>
        <w:tc>
          <w:tcPr>
            <w:tcW w:type="dxa" w:w="83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聚焦为什么系统允许错误发生和扩散</w:t>
            </w:r>
          </w:p>
        </w:tc>
      </w:tr>
      <w:tr>
        <w:tc>
          <w:tcPr>
            <w:tcW w:type="dxa" w:w="201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整改闭环</w:t>
            </w:r>
          </w:p>
        </w:tc>
        <w:tc>
          <w:tcPr>
            <w:tcW w:type="dxa" w:w="835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每项措施有责任人、期限、验证方法和防复发指标</w:t>
            </w:r>
          </w:p>
        </w:tc>
      </w:tr>
    </w:tbl>
    <w:p>
      <w:pPr>
        <w:spacing w:after="0"/>
      </w:pPr>
    </w:p>
    <w:p>
      <w:pPr>
        <w:pStyle w:val="Heading1"/>
      </w:pPr>
      <w:r>
        <w:t>1. 失败模式总览</w:t>
      </w:r>
    </w:p>
    <w:p>
      <w:pPr>
        <w:sectPr>
          <w:headerReference w:type="default" r:id="rId9"/>
          <w:footerReference w:type="default" r:id="rId10"/>
          <w:pgSz w:w="11909" w:h="16834"/>
          <w:pgMar w:top="792" w:right="893" w:bottom="792" w:left="893" w:header="360" w:footer="36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1152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168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失败模式</w:t>
            </w:r>
          </w:p>
        </w:tc>
        <w:tc>
          <w:tcPr>
            <w:tcW w:type="dxa" w:w="4896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典型后果</w:t>
            </w:r>
          </w:p>
        </w:tc>
        <w:tc>
          <w:tcPr>
            <w:tcW w:type="dxa" w:w="7200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核心控制</w:t>
            </w:r>
          </w:p>
        </w:tc>
      </w:tr>
      <w:tr>
        <w:tc>
          <w:tcPr>
            <w:tcW w:type="dxa" w:w="115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F01</w:t>
            </w:r>
          </w:p>
        </w:tc>
        <w:tc>
          <w:tcPr>
            <w:tcW w:type="dxa" w:w="316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范围失控/大一统</w:t>
            </w:r>
          </w:p>
        </w:tc>
        <w:tc>
          <w:tcPr>
            <w:tcW w:type="dxa" w:w="489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成本与周期失控，业务不采用</w:t>
            </w:r>
          </w:p>
        </w:tc>
        <w:tc>
          <w:tcPr>
            <w:tcW w:type="dxa" w:w="720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阶段收益、退出门槛、共存架构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F02</w:t>
            </w:r>
          </w:p>
        </w:tc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大爆炸上线</w:t>
            </w:r>
          </w:p>
        </w:tc>
        <w:tc>
          <w:tcPr>
            <w:tcW w:type="dxa" w:w="489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临床效率和安全风险集中释放</w:t>
            </w:r>
          </w:p>
        </w:tc>
        <w:tc>
          <w:tcPr>
            <w:tcW w:type="dxa" w:w="72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影子/双查/灰度/降级</w:t>
            </w:r>
          </w:p>
        </w:tc>
      </w:tr>
      <w:tr>
        <w:tc>
          <w:tcPr>
            <w:tcW w:type="dxa" w:w="115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F03</w:t>
            </w:r>
          </w:p>
        </w:tc>
        <w:tc>
          <w:tcPr>
            <w:tcW w:type="dxa" w:w="316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MDM字典化</w:t>
            </w:r>
          </w:p>
        </w:tc>
        <w:tc>
          <w:tcPr>
            <w:tcW w:type="dxa" w:w="489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各系统仍私有维护</w:t>
            </w:r>
          </w:p>
        </w:tc>
        <w:tc>
          <w:tcPr>
            <w:tcW w:type="dxa" w:w="720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权威发布权、接入合同、退役旧入口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F04</w:t>
            </w:r>
          </w:p>
        </w:tc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EMPI误合并</w:t>
            </w:r>
          </w:p>
        </w:tc>
        <w:tc>
          <w:tcPr>
            <w:tcW w:type="dxa" w:w="489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患者串档</w:t>
            </w:r>
          </w:p>
        </w:tc>
        <w:tc>
          <w:tcPr>
            <w:tcW w:type="dxa" w:w="72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双阈值、人工灰区、回滚</w:t>
            </w:r>
          </w:p>
        </w:tc>
      </w:tr>
      <w:tr>
        <w:tc>
          <w:tcPr>
            <w:tcW w:type="dxa" w:w="115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F05</w:t>
            </w:r>
          </w:p>
        </w:tc>
        <w:tc>
          <w:tcPr>
            <w:tcW w:type="dxa" w:w="316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CDC影响源库</w:t>
            </w:r>
          </w:p>
        </w:tc>
        <w:tc>
          <w:tcPr>
            <w:tcW w:type="dxa" w:w="489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生产库性能/日志事故</w:t>
            </w:r>
          </w:p>
        </w:tc>
        <w:tc>
          <w:tcPr>
            <w:tcW w:type="dxa" w:w="720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逐库PoC、限速、回灌隔离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F06</w:t>
            </w:r>
          </w:p>
        </w:tc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Kafka无治理</w:t>
            </w:r>
          </w:p>
        </w:tc>
        <w:tc>
          <w:tcPr>
            <w:tcW w:type="dxa" w:w="489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积压、重复、Schema破坏</w:t>
            </w:r>
          </w:p>
        </w:tc>
        <w:tc>
          <w:tcPr>
            <w:tcW w:type="dxa" w:w="72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契约、幂等、DLQ、SLO</w:t>
            </w:r>
          </w:p>
        </w:tc>
      </w:tr>
      <w:tr>
        <w:tc>
          <w:tcPr>
            <w:tcW w:type="dxa" w:w="115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F07</w:t>
            </w:r>
          </w:p>
        </w:tc>
        <w:tc>
          <w:tcPr>
            <w:tcW w:type="dxa" w:w="316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元数据墓地</w:t>
            </w:r>
          </w:p>
        </w:tc>
        <w:tc>
          <w:tcPr>
            <w:tcW w:type="dxa" w:w="489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目录无Owner、无使用</w:t>
            </w:r>
          </w:p>
        </w:tc>
        <w:tc>
          <w:tcPr>
            <w:tcW w:type="dxa" w:w="720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核心域先行、Owner/申请/KPI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F08</w:t>
            </w:r>
          </w:p>
        </w:tc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状态组件共故障域</w:t>
            </w:r>
          </w:p>
        </w:tc>
        <w:tc>
          <w:tcPr>
            <w:tcW w:type="dxa" w:w="489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单点故障全平台停摆</w:t>
            </w:r>
          </w:p>
        </w:tc>
        <w:tc>
          <w:tcPr>
            <w:tcW w:type="dxa" w:w="72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独立资源池、拓扑、容量红线</w:t>
            </w:r>
          </w:p>
        </w:tc>
      </w:tr>
      <w:tr>
        <w:tc>
          <w:tcPr>
            <w:tcW w:type="dxa" w:w="115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F09</w:t>
            </w:r>
          </w:p>
        </w:tc>
        <w:tc>
          <w:tcPr>
            <w:tcW w:type="dxa" w:w="316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隐私后补</w:t>
            </w:r>
          </w:p>
        </w:tc>
        <w:tc>
          <w:tcPr>
            <w:tcW w:type="dxa" w:w="489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项目暂停、信任受损</w:t>
            </w:r>
          </w:p>
        </w:tc>
        <w:tc>
          <w:tcPr>
            <w:tcW w:type="dxa" w:w="720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PIPIA、用途、最小必要、科研沙箱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F10</w:t>
            </w:r>
          </w:p>
        </w:tc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灾备纸面化</w:t>
            </w:r>
          </w:p>
        </w:tc>
        <w:tc>
          <w:tcPr>
            <w:tcW w:type="dxa" w:w="489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备份不可恢复、RTO失控</w:t>
            </w:r>
          </w:p>
        </w:tc>
        <w:tc>
          <w:tcPr>
            <w:tcW w:type="dxa" w:w="72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恢复演练、WORM、全链路切换</w:t>
            </w:r>
          </w:p>
        </w:tc>
      </w:tr>
      <w:tr>
        <w:tc>
          <w:tcPr>
            <w:tcW w:type="dxa" w:w="115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F11</w:t>
            </w:r>
          </w:p>
        </w:tc>
        <w:tc>
          <w:tcPr>
            <w:tcW w:type="dxa" w:w="316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供应商锁定</w:t>
            </w:r>
          </w:p>
        </w:tc>
        <w:tc>
          <w:tcPr>
            <w:tcW w:type="dxa" w:w="489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升级和退出受制</w:t>
            </w:r>
          </w:p>
        </w:tc>
        <w:tc>
          <w:tcPr>
            <w:tcW w:type="dxa" w:w="720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开放格式、源码/配置托管、退出条款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F12</w:t>
            </w:r>
          </w:p>
        </w:tc>
        <w:tc>
          <w:tcPr>
            <w:tcW w:type="dxa" w:w="316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运营无人负责</w:t>
            </w:r>
          </w:p>
        </w:tc>
        <w:tc>
          <w:tcPr>
            <w:tcW w:type="dxa" w:w="489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规则和目录半年失效</w:t>
            </w:r>
          </w:p>
        </w:tc>
        <w:tc>
          <w:tcPr>
            <w:tcW w:type="dxa" w:w="720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Steward、SLO、月度运营、考核</w:t>
            </w:r>
          </w:p>
        </w:tc>
      </w:tr>
    </w:tbl>
    <w:p>
      <w:pPr>
        <w:spacing w:after="0"/>
      </w:pPr>
    </w:p>
    <w:p>
      <w:pPr>
        <w:sectPr>
          <w:pgSz w:w="16834" w:h="11909" w:orient="landscape"/>
          <w:pgMar w:top="648" w:right="648" w:bottom="648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t>2. 公开案例一：英国NHS NPfIT</w:t>
      </w:r>
    </w:p>
    <w:p>
      <w:r>
        <w:rPr>
          <w:rFonts w:ascii="Noto Sans CJK SC" w:hAnsi="Noto Sans CJK SC" w:eastAsia="Noto Sans CJK SC"/>
        </w:rPr>
        <w:t>NAO 2011年报告显示，该国家级IT计划的电子病历部署速度远低于预期，核心目标无法实现；交付系统数量减少但成本没有相应下降，急性医院所获功能更多是行政管理而非预期临床功能。报告认为项目根本低估了大型IT变革的规模和复杂性。[S26]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592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观察</w:t>
            </w:r>
          </w:p>
        </w:tc>
        <w:tc>
          <w:tcPr>
            <w:tcW w:type="dxa" w:w="7776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对医院数据治理平台的含义</w:t>
            </w:r>
          </w:p>
        </w:tc>
      </w:tr>
      <w:tr>
        <w:tc>
          <w:tcPr>
            <w:tcW w:type="dxa" w:w="259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强中心化替换</w:t>
            </w:r>
          </w:p>
        </w:tc>
        <w:tc>
          <w:tcPr>
            <w:tcW w:type="dxa" w:w="777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不应一次替换全部业务系统，应采用注册、整合、共存和渐进迁移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范围和合同过大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按数据域、系统和成果拆包；阶段性Go/No-Go</w:t>
            </w:r>
          </w:p>
        </w:tc>
      </w:tr>
      <w:tr>
        <w:tc>
          <w:tcPr>
            <w:tcW w:type="dxa" w:w="259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临床收益不足</w:t>
            </w:r>
          </w:p>
        </w:tc>
        <w:tc>
          <w:tcPr>
            <w:tcW w:type="dxa" w:w="777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每期必须绑定临床/运营收益，而不是只交付平台菜单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成本未随范围下降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合同需允许缩减范围、调整费用和退出</w:t>
            </w:r>
          </w:p>
        </w:tc>
      </w:tr>
      <w:tr>
        <w:tc>
          <w:tcPr>
            <w:tcW w:type="dxa" w:w="259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本地适配不足</w:t>
            </w:r>
          </w:p>
        </w:tc>
        <w:tc>
          <w:tcPr>
            <w:tcW w:type="dxa" w:w="777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域Owner、Steward和一线用户必须参与模型、规则和UAT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Go/No-Go问题：试点是否已有真实下游使用？临床/业务是否愿意停止私有字典？是否可以用现有系统共存而非替换？没有肯定答案时不得扩大范围。</w:t>
      </w:r>
    </w:p>
    <w:p>
      <w:pPr>
        <w:pStyle w:val="Heading1"/>
      </w:pPr>
      <w:r>
        <w:t>3. 公开案例二：Royal Free / DeepMind</w:t>
      </w:r>
    </w:p>
    <w:p>
      <w:r>
        <w:rPr>
          <w:rFonts w:ascii="Noto Sans CJK SC" w:hAnsi="Noto Sans CJK SC" w:eastAsia="Noto Sans CJK SC"/>
        </w:rPr>
        <w:t>ICO调查认为试验阶段在公平透明、合法基础、患者告知和数据处理范围方面存在问题。教训不是“不能创新”，而是创新必须建立在明确用途、合法基础、最小必要、透明和可审计之上。[S27]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2304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失败点</w:t>
            </w:r>
          </w:p>
        </w:tc>
        <w:tc>
          <w:tcPr>
            <w:tcW w:type="dxa" w:w="3456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预警信号</w:t>
            </w:r>
          </w:p>
        </w:tc>
        <w:tc>
          <w:tcPr>
            <w:tcW w:type="dxa" w:w="4608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</w:t>
            </w:r>
          </w:p>
        </w:tc>
      </w:tr>
      <w:tr>
        <w:tc>
          <w:tcPr>
            <w:tcW w:type="dxa" w:w="2304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未前置影响评估</w:t>
            </w:r>
          </w:p>
        </w:tc>
        <w:tc>
          <w:tcPr>
            <w:tcW w:type="dxa" w:w="345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先给数据后补审批</w:t>
            </w:r>
          </w:p>
        </w:tc>
        <w:tc>
          <w:tcPr>
            <w:tcW w:type="dxa" w:w="46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PIPIA/伦理/合同在出域前完成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用途边界模糊</w:t>
            </w:r>
          </w:p>
        </w:tc>
        <w:tc>
          <w:tcPr>
            <w:tcW w:type="dxa" w:w="34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“为了AI/科研”笼统描述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用途代码、数据字段、时间窗、人员、环境逐项批准</w:t>
            </w:r>
          </w:p>
        </w:tc>
      </w:tr>
      <w:tr>
        <w:tc>
          <w:tcPr>
            <w:tcW w:type="dxa" w:w="2304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数据范围过大</w:t>
            </w:r>
          </w:p>
        </w:tc>
        <w:tc>
          <w:tcPr>
            <w:tcW w:type="dxa" w:w="345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全量患者、全字段、长期访问</w:t>
            </w:r>
          </w:p>
        </w:tc>
        <w:tc>
          <w:tcPr>
            <w:tcW w:type="dxa" w:w="46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最小数据集、去标识化、短期授权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患者/公众透明不足</w:t>
            </w:r>
          </w:p>
        </w:tc>
        <w:tc>
          <w:tcPr>
            <w:tcW w:type="dxa" w:w="345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无法解释数据为何、如何被使用</w:t>
            </w:r>
          </w:p>
        </w:tc>
        <w:tc>
          <w:tcPr>
            <w:tcW w:type="dxa" w:w="46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公开说明、内部登记、可追溯投诉处理</w:t>
            </w:r>
          </w:p>
        </w:tc>
      </w:tr>
      <w:tr>
        <w:tc>
          <w:tcPr>
            <w:tcW w:type="dxa" w:w="2304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退出和销毁不清</w:t>
            </w:r>
          </w:p>
        </w:tc>
        <w:tc>
          <w:tcPr>
            <w:tcW w:type="dxa" w:w="345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项目结束仍可访问</w:t>
            </w:r>
          </w:p>
        </w:tc>
        <w:tc>
          <w:tcPr>
            <w:tcW w:type="dxa" w:w="46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项目到期自动回收、封存/销毁证明</w:t>
            </w:r>
          </w:p>
        </w:tc>
      </w:tr>
    </w:tbl>
    <w:p>
      <w:pPr>
        <w:spacing w:after="0"/>
      </w:pPr>
    </w:p>
    <w:p>
      <w:pPr>
        <w:pStyle w:val="Heading1"/>
      </w:pPr>
      <w:r>
        <w:t>4. 综合案例：EMPI误合并导致患者串档</w:t>
      </w:r>
    </w:p>
    <w:p>
      <w:r>
        <w:rPr>
          <w:rFonts w:ascii="Noto Sans CJK SC" w:hAnsi="Noto Sans CJK SC" w:eastAsia="Noto Sans CJK SC"/>
        </w:rPr>
        <w:t>场景：医院为了提高自动化率，将姓名、生日、手机号相似的记录自动合并，但忽略证件冲突、双胞胎、历史手机号复用和监护人代办，导致不同患者的检验、过敏和处方被串联。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440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888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缺失控制</w:t>
            </w:r>
          </w:p>
        </w:tc>
        <w:tc>
          <w:tcPr>
            <w:tcW w:type="dxa" w:w="5040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应有控制</w:t>
            </w:r>
          </w:p>
        </w:tc>
      </w:tr>
      <w:tr>
        <w:tc>
          <w:tcPr>
            <w:tcW w:type="dxa" w:w="144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</w:t>
            </w:r>
          </w:p>
        </w:tc>
        <w:tc>
          <w:tcPr>
            <w:tcW w:type="dxa" w:w="388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把“自动合并率”作为主要KPI</w:t>
            </w:r>
          </w:p>
        </w:tc>
        <w:tc>
          <w:tcPr>
            <w:tcW w:type="dxa" w:w="504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以误合并为0、人工灰区及时率为核心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</w:t>
            </w:r>
          </w:p>
        </w:tc>
        <w:tc>
          <w:tcPr>
            <w:tcW w:type="dxa" w:w="388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未用真实样本评估缺失和冲突</w:t>
            </w:r>
          </w:p>
        </w:tc>
        <w:tc>
          <w:tcPr>
            <w:tcW w:type="dxa" w:w="50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患者5-10万样本剖析，按人群分层</w:t>
            </w:r>
          </w:p>
        </w:tc>
      </w:tr>
      <w:tr>
        <w:tc>
          <w:tcPr>
            <w:tcW w:type="dxa" w:w="144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算法</w:t>
            </w:r>
          </w:p>
        </w:tc>
        <w:tc>
          <w:tcPr>
            <w:tcW w:type="dxa" w:w="388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单一加权分数、无禁止规则</w:t>
            </w:r>
          </w:p>
        </w:tc>
        <w:tc>
          <w:tcPr>
            <w:tcW w:type="dxa" w:w="504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确定性+概率+硬冲突规则+双阈值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流程</w:t>
            </w:r>
          </w:p>
        </w:tc>
        <w:tc>
          <w:tcPr>
            <w:tcW w:type="dxa" w:w="388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算法直接写金记录</w:t>
            </w:r>
          </w:p>
        </w:tc>
        <w:tc>
          <w:tcPr>
            <w:tcW w:type="dxa" w:w="50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高风险四眼复核、可解释证据</w:t>
            </w:r>
          </w:p>
        </w:tc>
      </w:tr>
      <w:tr>
        <w:tc>
          <w:tcPr>
            <w:tcW w:type="dxa" w:w="144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</w:t>
            </w:r>
          </w:p>
        </w:tc>
        <w:tc>
          <w:tcPr>
            <w:tcW w:type="dxa" w:w="388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无下游影响和补偿</w:t>
            </w:r>
          </w:p>
        </w:tc>
        <w:tc>
          <w:tcPr>
            <w:tcW w:type="dxa" w:w="504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合并事件、消费确认、补偿和回滚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运营</w:t>
            </w:r>
          </w:p>
        </w:tc>
        <w:tc>
          <w:tcPr>
            <w:tcW w:type="dxa" w:w="388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无人持续抽检模型</w:t>
            </w:r>
          </w:p>
        </w:tc>
        <w:tc>
          <w:tcPr>
            <w:tcW w:type="dxa" w:w="504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周抽样、漂移监控、阈值变更审批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立即处置：停止自动合并；锁定受影响主记录；导出下游影响清单；临床安全复核；按快照回滚；发布补偿事件；通知相关科室；重新验证阈值。</w:t>
      </w:r>
    </w:p>
    <w:p>
      <w:pPr>
        <w:pStyle w:val="Heading1"/>
      </w:pPr>
      <w:r>
        <w:t>5. 综合案例：MDM退化为Excel字典搬运</w:t>
      </w:r>
    </w:p>
    <w:p>
      <w:r>
        <w:rPr>
          <w:rFonts w:ascii="Noto Sans CJK SC" w:hAnsi="Noto Sans CJK SC" w:eastAsia="Noto Sans CJK SC"/>
        </w:rPr>
        <w:t>场景：项目把附件中的字典导入新系统，做了查询页面，但HIS、EMR、LIS和报表仍各自维护；变更仍通过微信群、邮件和SQL。半年后编码再次不一致。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根因：没有赋予平台发布权，没有域Owner和Steward，没有订阅SLA，没有新系统接入门槛。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预警：平台日活极低；新增系统未调用接口；旧维护页面仍开放；发布记录为空。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规避：把现有121项对象转成版本化CodeSystem/ValueSet/ConceptMap；选择10-20个高影响词表先强制统一发布；采购合同要求新系统消费标准服务；稳定后关闭旧维护入口。</w:t>
      </w:r>
    </w:p>
    <w:p>
      <w:pPr>
        <w:pStyle w:val="Heading1"/>
      </w:pPr>
      <w:r>
        <w:t>6. 综合案例：CDC压垮生产数据库</w:t>
      </w:r>
    </w:p>
    <w:p>
      <w:r>
        <w:rPr>
          <w:rFonts w:ascii="Noto Sans CJK SC" w:hAnsi="Noto Sans CJK SC" w:eastAsia="Noto Sans CJK SC"/>
        </w:rPr>
        <w:t>场景：为追求“全实时”，未经厂商和DBA评估就在核心Oracle/SQL Server开启全库CDC和初始快照，导致日志归档、IO、LOB读取和DDL异常，临床业务性能下降。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160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预防门槛</w:t>
            </w:r>
          </w:p>
        </w:tc>
        <w:tc>
          <w:tcPr>
            <w:tcW w:type="dxa" w:w="8208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16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逐库PoC</w:t>
            </w:r>
          </w:p>
        </w:tc>
        <w:tc>
          <w:tcPr>
            <w:tcW w:type="dxa" w:w="82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选关键表，测CPU、IO、日志、锁、延迟、网络和位点恢复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初始快照</w:t>
            </w:r>
          </w:p>
        </w:tc>
        <w:tc>
          <w:tcPr>
            <w:tcW w:type="dxa" w:w="82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离峰、限速、分表分片；大表优先备库或导出文件</w:t>
            </w:r>
          </w:p>
        </w:tc>
      </w:tr>
      <w:tr>
        <w:tc>
          <w:tcPr>
            <w:tcW w:type="dxa" w:w="216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范围</w:t>
            </w:r>
          </w:p>
        </w:tc>
        <w:tc>
          <w:tcPr>
            <w:tcW w:type="dxa" w:w="82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只采关键表和字段，禁止默认全库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安全开关</w:t>
            </w:r>
          </w:p>
        </w:tc>
        <w:tc>
          <w:tcPr>
            <w:tcW w:type="dxa" w:w="82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平台和源库均能一键停采；不影响原交易</w:t>
            </w:r>
          </w:p>
        </w:tc>
      </w:tr>
      <w:tr>
        <w:tc>
          <w:tcPr>
            <w:tcW w:type="dxa" w:w="216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回灌隔离</w:t>
            </w:r>
          </w:p>
        </w:tc>
        <w:tc>
          <w:tcPr>
            <w:tcW w:type="dxa" w:w="82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历史回灌与在线CDC分资源池、分Topic和限额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DDL/LOB</w:t>
            </w:r>
          </w:p>
        </w:tc>
        <w:tc>
          <w:tcPr>
            <w:tcW w:type="dxa" w:w="82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明确支持矩阵、失败策略和人工变更窗口</w:t>
            </w:r>
          </w:p>
        </w:tc>
      </w:tr>
    </w:tbl>
    <w:p>
      <w:pPr>
        <w:spacing w:after="0"/>
      </w:pPr>
    </w:p>
    <w:p>
      <w:pPr>
        <w:pStyle w:val="Heading1"/>
      </w:pPr>
      <w:r>
        <w:t>7. 综合案例：Kafka消息堆积与重复副作用</w:t>
      </w:r>
    </w:p>
    <w:p>
      <w:r>
        <w:rPr>
          <w:rFonts w:ascii="Noto Sans CJK SC" w:hAnsi="Noto Sans CJK SC" w:eastAsia="Noto Sans CJK SC"/>
        </w:rPr>
        <w:t>场景：Topic命名和Schema无人治理，消费者失败后持续重试，Lag增长；恢复时同一事件重复执行，造成状态反复或重复写入。院内已有接口消息堆积和补推运维经验，说明事件平台必须把可靠性、幂等和责任人制度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每个Topic登记Owner、消费者、Key、分区、保留、敏感级、Schema和SLA。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消费者以eventId建立Inbox幂等；业务写入和消费确认同一事务。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重试次数受控，超过阈值进入DLQ并自动生成工单；DLQ不能只长期堆积。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患者合并、药品停用、人员离职等事件要求消费确认和高优先级告警。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上线前执行断开30分钟、恢复、重复、乱序、Schema演进和回放测试。</w:t>
      </w:r>
    </w:p>
    <w:p>
      <w:pPr>
        <w:pStyle w:val="Heading1"/>
      </w:pPr>
      <w:r>
        <w:t>8. 综合案例：元数据目录成为资产墓地</w:t>
      </w:r>
    </w:p>
    <w:p>
      <w:r>
        <w:rPr>
          <w:rFonts w:ascii="Noto Sans CJK SC" w:hAnsi="Noto Sans CJK SC" w:eastAsia="Noto Sans CJK SC"/>
        </w:rPr>
        <w:t>场景：一次性连接上百套数据库，目录里出现数十万张表，但没有业务名称、Owner、质量、申请入口和使用反馈，用户仍通过熟人找数据。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3744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错误KPI</w:t>
            </w:r>
          </w:p>
        </w:tc>
        <w:tc>
          <w:tcPr>
            <w:tcW w:type="dxa" w:w="6624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替代KPI</w:t>
            </w:r>
          </w:p>
        </w:tc>
      </w:tr>
      <w:tr>
        <w:tc>
          <w:tcPr>
            <w:tcW w:type="dxa" w:w="3744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接入系统数/表数</w:t>
            </w:r>
          </w:p>
        </w:tc>
        <w:tc>
          <w:tcPr>
            <w:tcW w:type="dxa" w:w="6624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核心域Owner覆盖率、正式资产活跃率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采集成功率</w:t>
            </w:r>
          </w:p>
        </w:tc>
        <w:tc>
          <w:tcPr>
            <w:tcW w:type="dxa" w:w="662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搜索到申请转化率、申请交付周期</w:t>
            </w:r>
          </w:p>
        </w:tc>
      </w:tr>
      <w:tr>
        <w:tc>
          <w:tcPr>
            <w:tcW w:type="dxa" w:w="3744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血缘边数量</w:t>
            </w:r>
          </w:p>
        </w:tc>
        <w:tc>
          <w:tcPr>
            <w:tcW w:type="dxa" w:w="6624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核心指标/数据产品可追溯率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词条总数</w:t>
            </w:r>
          </w:p>
        </w:tc>
        <w:tc>
          <w:tcPr>
            <w:tcW w:type="dxa" w:w="6624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有效定义、使用次数、争议关闭率</w:t>
            </w:r>
          </w:p>
        </w:tc>
      </w:tr>
      <w:tr>
        <w:tc>
          <w:tcPr>
            <w:tcW w:type="dxa" w:w="3744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页面访问量</w:t>
            </w:r>
          </w:p>
        </w:tc>
        <w:tc>
          <w:tcPr>
            <w:tcW w:type="dxa" w:w="6624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数据复用、重复开发下降、质量问题闭环</w:t>
            </w:r>
          </w:p>
        </w:tc>
      </w:tr>
    </w:tbl>
    <w:p>
      <w:pPr>
        <w:spacing w:after="0"/>
      </w:pPr>
    </w:p>
    <w:p>
      <w:pPr>
        <w:pStyle w:val="Heading1"/>
      </w:pPr>
      <w:r>
        <w:t>9. 综合案例：所有有状态组件共用小型Kubernetes</w:t>
      </w:r>
    </w:p>
    <w:p>
      <w:r>
        <w:rPr>
          <w:rFonts w:ascii="Noto Sans CJK SC" w:hAnsi="Noto Sans CJK SC" w:eastAsia="Noto Sans CJK SC"/>
        </w:rPr>
        <w:t>场景：为了节省服务器，把Kafka、PostgreSQL、OpenSearch、对象存储、目录、监控都放在同一小集群。一次节点维护、磁盘满或CNI故障导致整个数据平台同时不可用。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数据库、Kafka、OpenSearch数据节点和Ceph优先独立资源池；低IO无状态服务才共享通用Worker。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跨宿主机/机架反亲和，PDB和拓扑分布；不能把“Pod有3副本”误认为跨故障域HA。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磁盘达到70-75%开始扩容，80%触发高等级告警；对象存储和日志保留必须有成本模型。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维护窗口前验证容量、PDB、备份和回退；禁止同时升级多个基础组件。</w:t>
      </w:r>
    </w:p>
    <w:p>
      <w:pPr>
        <w:pStyle w:val="Heading1"/>
      </w:pPr>
      <w:r>
        <w:t>10. 综合案例：备份成功但无法恢复</w:t>
      </w:r>
    </w:p>
    <w:p>
      <w:r>
        <w:rPr>
          <w:rFonts w:ascii="Noto Sans CJK SC" w:hAnsi="Noto Sans CJK SC" w:eastAsia="Noto Sans CJK SC"/>
        </w:rPr>
        <w:t>场景：每日备份任务显示成功，但第一次真实恢复时发现WAL缺失、证书和密钥未备份、对象存储版本不一致、DNS和第三方白名单未配置，恢复远超RTO。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592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</w:t>
            </w:r>
          </w:p>
        </w:tc>
        <w:tc>
          <w:tcPr>
            <w:tcW w:type="dxa" w:w="7776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验收证据</w:t>
            </w:r>
          </w:p>
        </w:tc>
      </w:tr>
      <w:tr>
        <w:tc>
          <w:tcPr>
            <w:tcW w:type="dxa" w:w="259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数据库PITR</w:t>
            </w:r>
          </w:p>
        </w:tc>
        <w:tc>
          <w:tcPr>
            <w:tcW w:type="dxa" w:w="777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隔离环境恢复到指定时间，核心对象和审计一致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对象存储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随机对象、checksum、Iceberg快照和Catalog一致</w:t>
            </w:r>
          </w:p>
        </w:tc>
      </w:tr>
      <w:tr>
        <w:tc>
          <w:tcPr>
            <w:tcW w:type="dxa" w:w="259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密钥证书</w:t>
            </w:r>
          </w:p>
        </w:tc>
        <w:tc>
          <w:tcPr>
            <w:tcW w:type="dxa" w:w="777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双人授权恢复，服务能解密且产生新审计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K8s重建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从Git/Harbor/备份在新集群恢复关键服务</w:t>
            </w:r>
          </w:p>
        </w:tc>
      </w:tr>
      <w:tr>
        <w:tc>
          <w:tcPr>
            <w:tcW w:type="dxa" w:w="2592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跨中心切换</w:t>
            </w:r>
          </w:p>
        </w:tc>
        <w:tc>
          <w:tcPr>
            <w:tcW w:type="dxa" w:w="7776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DNS、路由、统一认证、外部接口和消费者全链路通过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误操作恢复</w:t>
            </w:r>
          </w:p>
        </w:tc>
        <w:tc>
          <w:tcPr>
            <w:tcW w:type="dxa" w:w="7776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患者误合并、标准误发布和审计误删均可回退</w:t>
            </w:r>
          </w:p>
        </w:tc>
      </w:tr>
    </w:tbl>
    <w:p>
      <w:pPr>
        <w:spacing w:after="0"/>
      </w:pPr>
    </w:p>
    <w:p>
      <w:pPr>
        <w:pStyle w:val="Heading1"/>
      </w:pPr>
      <w:r>
        <w:t>11. 上线前红线与Go/No-Go清单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160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红线</w:t>
            </w:r>
          </w:p>
        </w:tc>
        <w:tc>
          <w:tcPr>
            <w:tcW w:type="dxa" w:w="8208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No-Go条件</w:t>
            </w:r>
          </w:p>
        </w:tc>
      </w:tr>
      <w:tr>
        <w:tc>
          <w:tcPr>
            <w:tcW w:type="dxa" w:w="216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患者安全</w:t>
            </w:r>
          </w:p>
        </w:tc>
        <w:tc>
          <w:tcPr>
            <w:tcW w:type="dxa" w:w="82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存在未解释的误合并、串档、药品停用未传播或关键接口数据错配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数据质量</w:t>
            </w:r>
          </w:p>
        </w:tc>
        <w:tc>
          <w:tcPr>
            <w:tcW w:type="dxa" w:w="82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阻断级规则不能阻断，或质量工单无Owner</w:t>
            </w:r>
          </w:p>
        </w:tc>
      </w:tr>
      <w:tr>
        <w:tc>
          <w:tcPr>
            <w:tcW w:type="dxa" w:w="216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回退</w:t>
            </w:r>
          </w:p>
        </w:tc>
        <w:tc>
          <w:tcPr>
            <w:tcW w:type="dxa" w:w="82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合并、标准、数据库、接口和部署回退未演练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接口可靠性</w:t>
            </w:r>
          </w:p>
        </w:tc>
        <w:tc>
          <w:tcPr>
            <w:tcW w:type="dxa" w:w="82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消费者无幂等/DLQ/补偿；断连恢复测试失败</w:t>
            </w:r>
          </w:p>
        </w:tc>
      </w:tr>
      <w:tr>
        <w:tc>
          <w:tcPr>
            <w:tcW w:type="dxa" w:w="216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性能</w:t>
            </w:r>
          </w:p>
        </w:tc>
        <w:tc>
          <w:tcPr>
            <w:tcW w:type="dxa" w:w="82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基准峰值和1.5倍压测未通过，或源系统影响超阈值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</w:t>
            </w:r>
          </w:p>
        </w:tc>
        <w:tc>
          <w:tcPr>
            <w:tcW w:type="dxa" w:w="82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PIPIA、分类分级、越权测试、审计或密钥恢复未完成</w:t>
            </w:r>
          </w:p>
        </w:tc>
      </w:tr>
      <w:tr>
        <w:tc>
          <w:tcPr>
            <w:tcW w:type="dxa" w:w="216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灾备</w:t>
            </w:r>
          </w:p>
        </w:tc>
        <w:tc>
          <w:tcPr>
            <w:tcW w:type="dxa" w:w="82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备份恢复或跨中心演练未通过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组织</w:t>
            </w:r>
          </w:p>
        </w:tc>
        <w:tc>
          <w:tcPr>
            <w:tcW w:type="dxa" w:w="82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域Owner/Steward未任命，业务部门拒绝承担审批和质量责任</w:t>
            </w:r>
          </w:p>
        </w:tc>
      </w:tr>
    </w:tbl>
    <w:p>
      <w:pPr>
        <w:spacing w:after="0"/>
      </w:pPr>
    </w:p>
    <w:p>
      <w:pPr>
        <w:pStyle w:val="Heading1"/>
      </w:pPr>
      <w:r>
        <w:t>12. 重大事件复盘模板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160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栏目</w:t>
            </w:r>
          </w:p>
        </w:tc>
        <w:tc>
          <w:tcPr>
            <w:tcW w:type="dxa" w:w="8208"/>
            <w:vAlign w:val="center"/>
            <w:shd w:fill="1F4E7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填写要求</w:t>
            </w:r>
          </w:p>
        </w:tc>
      </w:tr>
      <w:tr>
        <w:tc>
          <w:tcPr>
            <w:tcW w:type="dxa" w:w="216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事件摘要</w:t>
            </w:r>
          </w:p>
        </w:tc>
        <w:tc>
          <w:tcPr>
            <w:tcW w:type="dxa" w:w="82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发生时间、发现方式、影响对象/系统/患者、持续时间、当前状态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时间线</w:t>
            </w:r>
          </w:p>
        </w:tc>
        <w:tc>
          <w:tcPr>
            <w:tcW w:type="dxa" w:w="82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以分钟级记录告警、操作、决策、沟通和恢复节点</w:t>
            </w:r>
          </w:p>
        </w:tc>
      </w:tr>
      <w:tr>
        <w:tc>
          <w:tcPr>
            <w:tcW w:type="dxa" w:w="216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患者/业务影响</w:t>
            </w:r>
          </w:p>
        </w:tc>
        <w:tc>
          <w:tcPr>
            <w:tcW w:type="dxa" w:w="82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患者安全、临床流程、收费、报告、运营、监管和数据泄露影响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技术根因</w:t>
            </w:r>
          </w:p>
        </w:tc>
        <w:tc>
          <w:tcPr>
            <w:tcW w:type="dxa" w:w="82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代码、配置、数据、容量、依赖、发布、故障域或安全控制</w:t>
            </w:r>
          </w:p>
        </w:tc>
      </w:tr>
      <w:tr>
        <w:tc>
          <w:tcPr>
            <w:tcW w:type="dxa" w:w="216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促成因素</w:t>
            </w:r>
          </w:p>
        </w:tc>
        <w:tc>
          <w:tcPr>
            <w:tcW w:type="dxa" w:w="82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监控、流程、培训、组织、合同、测试和文档缺陷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处置评价</w:t>
            </w:r>
          </w:p>
        </w:tc>
        <w:tc>
          <w:tcPr>
            <w:tcW w:type="dxa" w:w="82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哪些有效、哪些延误、是否触发应急和回退</w:t>
            </w:r>
          </w:p>
        </w:tc>
      </w:tr>
      <w:tr>
        <w:tc>
          <w:tcPr>
            <w:tcW w:type="dxa" w:w="216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整改措施</w:t>
            </w:r>
          </w:p>
        </w:tc>
        <w:tc>
          <w:tcPr>
            <w:tcW w:type="dxa" w:w="82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短期止血、中期修复、长期制度化；责任人、期限、验证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防复发指标</w:t>
            </w:r>
          </w:p>
        </w:tc>
        <w:tc>
          <w:tcPr>
            <w:tcW w:type="dxa" w:w="8208"/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新增告警、测试、门禁、SLO、质量规则或合同条款</w:t>
            </w:r>
          </w:p>
        </w:tc>
      </w:tr>
      <w:tr>
        <w:tc>
          <w:tcPr>
            <w:tcW w:type="dxa" w:w="2160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经验传播</w:t>
            </w:r>
          </w:p>
        </w:tc>
        <w:tc>
          <w:tcPr>
            <w:tcW w:type="dxa" w:w="8208"/>
            <w:vAlign w:val="center"/>
            <w:shd w:fill="F5F8FA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操作手册、培训、设计规范和其他系统横向排查</w:t>
            </w:r>
          </w:p>
        </w:tc>
      </w:tr>
    </w:tbl>
    <w:p>
      <w:pPr>
        <w:spacing w:after="0"/>
      </w:pPr>
    </w:p>
    <w:p>
      <w:pPr>
        <w:pStyle w:val="Heading1"/>
      </w:pPr>
      <w:r>
        <w:t>附录 参考资料</w:t>
      </w:r>
    </w:p>
    <w:p>
      <w:r>
        <w:rPr>
          <w:rFonts w:ascii="Noto Sans CJK SC" w:hAnsi="Noto Sans CJK SC" w:eastAsia="Noto Sans CJK SC"/>
          <w:b/>
          <w:sz w:val="18"/>
        </w:rPr>
        <w:t>[S04] 国家互联网信息办公室：《中华人民共和国个人信息保护法》</w:t>
      </w:r>
      <w:r>
        <w:rPr>
          <w:rFonts w:ascii="DejaVu Sans Mono" w:hAnsi="DejaVu Sans Mono"/>
          <w:sz w:val="15"/>
        </w:rPr>
        <w:br/>
        <w:t>https://www.cac.gov.cn/2021-08/20/c_1631050028355286.htm（访问日期：2026-07-15）</w:t>
      </w:r>
    </w:p>
    <w:p>
      <w:r>
        <w:rPr>
          <w:rFonts w:ascii="Noto Sans CJK SC" w:hAnsi="Noto Sans CJK SC" w:eastAsia="Noto Sans CJK SC"/>
          <w:b/>
          <w:sz w:val="18"/>
        </w:rPr>
        <w:t>[S05] 国家互联网信息办公室：《中华人民共和国数据安全法》</w:t>
      </w:r>
      <w:r>
        <w:rPr>
          <w:rFonts w:ascii="DejaVu Sans Mono" w:hAnsi="DejaVu Sans Mono"/>
          <w:sz w:val="15"/>
        </w:rPr>
        <w:br/>
        <w:t>https://www.cac.gov.cn/2021-06/11/c_1624994566919140.htm（访问日期：2026-07-15）</w:t>
      </w:r>
    </w:p>
    <w:p>
      <w:r>
        <w:rPr>
          <w:rFonts w:ascii="Noto Sans CJK SC" w:hAnsi="Noto Sans CJK SC" w:eastAsia="Noto Sans CJK SC"/>
          <w:b/>
          <w:sz w:val="18"/>
        </w:rPr>
        <w:t>[S26] UK National Audit Office：The National Programme for IT in the NHS</w:t>
      </w:r>
      <w:r>
        <w:rPr>
          <w:rFonts w:ascii="DejaVu Sans Mono" w:hAnsi="DejaVu Sans Mono"/>
          <w:sz w:val="15"/>
        </w:rPr>
        <w:br/>
        <w:t>https://www.nao.org.uk/reports/the-national-programme-for-it-in-the-nhs-an-update-on-the-delivery-of-detailed-care-records-systems/（访问日期：2026-07-15）</w:t>
      </w:r>
    </w:p>
    <w:p>
      <w:r>
        <w:rPr>
          <w:rFonts w:ascii="Noto Sans CJK SC" w:hAnsi="Noto Sans CJK SC" w:eastAsia="Noto Sans CJK SC"/>
          <w:b/>
          <w:sz w:val="18"/>
        </w:rPr>
        <w:t>[S27] UK Information Commissioner’s Office：Royal Free / DeepMind investigation</w:t>
      </w:r>
      <w:r>
        <w:rPr>
          <w:rFonts w:ascii="DejaVu Sans Mono" w:hAnsi="DejaVu Sans Mono"/>
          <w:sz w:val="15"/>
        </w:rPr>
        <w:br/>
        <w:t>https://ico.org.uk/about-the-ico/media-centre/news-and-blogs/2017/07/royal-free-google-deepmind-trial-failed-to-comply-with-data-protection-law/（访问日期：2026-07-15）</w:t>
      </w:r>
    </w:p>
    <w:sectPr w:rsidR="00FC693F" w:rsidRPr="0006063C" w:rsidSect="00034616">
      <w:pgSz w:w="11909" w:h="16834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内部技术设计稿  |  第 </w:t>
    </w:r>
    <w:r>
      <w:fldChar w:fldCharType="begin"/>
      <w:instrText xml:space="preserve">PAGE</w:instrText>
      <w:fldChar w:fldCharType="separate"/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大型三甲医院数据治理平台 | 详细设计交付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7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6688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  <w:ind w:left="360"/>
    </w:pPr>
    <w:rPr>
      <w:rFonts w:ascii="DejaVu Sans Mono" w:hAnsi="DejaVu Sans Mono"/>
      <w:sz w:val="16"/>
    </w:rPr>
  </w:style>
  <w:style w:type="paragraph" w:customStyle="1" w:styleId="CaptionCN">
    <w:name w:val="CaptionCN"/>
    <w:pPr>
      <w:spacing w:after="120"/>
      <w:jc w:val="center"/>
    </w:pPr>
    <w:rPr>
      <w:rFonts w:ascii="Noto Sans CJK SC" w:hAnsi="Noto Sans CJK SC" w:eastAsia="Noto Sans CJK SC"/>
      <w:i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