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F65D5">
      <w:pPr>
        <w:keepNext w:val="0"/>
        <w:widowControl/>
        <w:spacing w:before="1600" w:after="32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54E45"/>
          <w:sz w:val="48"/>
        </w:rPr>
        <w:t>中医五运六气</w:t>
      </w:r>
    </w:p>
    <w:p w14:paraId="3DD18466">
      <w:pPr>
        <w:keepNext w:val="0"/>
        <w:widowControl/>
        <w:spacing w:before="0" w:after="56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54E45"/>
          <w:sz w:val="56"/>
        </w:rPr>
        <w:t>第一阶段规则共识确认单</w:t>
      </w:r>
    </w:p>
    <w:p w14:paraId="129757BE">
      <w:pPr>
        <w:keepNext w:val="0"/>
        <w:widowControl/>
        <w:spacing w:before="0" w:after="56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F6B6D"/>
          <w:sz w:val="23"/>
        </w:rPr>
        <w:t>用于中医五运六气与问诊结构化原型系统规则冻结</w:t>
      </w:r>
    </w:p>
    <w:p w14:paraId="34C8484A">
      <w:pPr>
        <w:widowControl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B48A3C"/>
          <w:sz w:val="22"/>
        </w:rPr>
        <w:t>━━━━━━━━━━━━━━━━━━━━━━━━━━━━━━━━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6987"/>
      </w:tblGrid>
      <w:tr w14:paraId="3845D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E8F2E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C6AD06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54E45"/>
                <w:sz w:val="21"/>
              </w:rPr>
              <w:t>项目名称</w:t>
            </w:r>
          </w:p>
        </w:tc>
        <w:tc>
          <w:tcPr>
            <w:tcW w:w="6987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F6489F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>中医五运六气与问诊结构化原型系统</w:t>
            </w:r>
          </w:p>
        </w:tc>
      </w:tr>
      <w:tr w14:paraId="23E12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E8F2E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4BB269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54E45"/>
                <w:sz w:val="21"/>
              </w:rPr>
              <w:t>确认范围</w:t>
            </w:r>
          </w:p>
        </w:tc>
        <w:tc>
          <w:tcPr>
            <w:tcW w:w="6987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BCF4D2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>第一阶段五运六气基础规则、问诊关联边界及文字安全</w:t>
            </w:r>
          </w:p>
        </w:tc>
      </w:tr>
      <w:tr w14:paraId="26160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E8F2E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747669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54E45"/>
                <w:sz w:val="21"/>
              </w:rPr>
              <w:t>规则版本号</w:t>
            </w:r>
          </w:p>
        </w:tc>
        <w:tc>
          <w:tcPr>
            <w:tcW w:w="6987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7DF688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>YQ-MVP-RULES-1.0.0</w:t>
            </w:r>
          </w:p>
        </w:tc>
      </w:tr>
      <w:tr w14:paraId="19EF8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E8F2E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CAFE86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54E45"/>
                <w:sz w:val="21"/>
              </w:rPr>
              <w:t>文档版本</w:t>
            </w:r>
          </w:p>
        </w:tc>
        <w:tc>
          <w:tcPr>
            <w:tcW w:w="6987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2364E3D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>V1.</w:t>
            </w: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  <w:lang w:val="en-US" w:eastAsia="zh-CN"/>
              </w:rPr>
              <w:t>1</w:t>
            </w:r>
          </w:p>
        </w:tc>
      </w:tr>
      <w:tr w14:paraId="39828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E8F2E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7CAE39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54E45"/>
                <w:sz w:val="21"/>
              </w:rPr>
              <w:t>当前状态</w:t>
            </w:r>
          </w:p>
        </w:tc>
        <w:tc>
          <w:tcPr>
            <w:tcW w:w="6987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CD61779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待冻结</w:t>
            </w:r>
          </w:p>
        </w:tc>
      </w:tr>
      <w:tr w14:paraId="0C994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E8F2E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F06EFC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54E45"/>
                <w:sz w:val="21"/>
              </w:rPr>
              <w:t>生效日期</w:t>
            </w:r>
          </w:p>
        </w:tc>
        <w:tc>
          <w:tcPr>
            <w:tcW w:w="6987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D38A51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 xml:space="preserve">年  </w:t>
            </w: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 xml:space="preserve">  月  </w:t>
            </w: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 xml:space="preserve">  日</w:t>
            </w:r>
          </w:p>
        </w:tc>
      </w:tr>
      <w:tr w14:paraId="7D807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E8F2E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8DC855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54E45"/>
                <w:sz w:val="21"/>
              </w:rPr>
              <w:t>编制依据</w:t>
            </w:r>
          </w:p>
        </w:tc>
        <w:tc>
          <w:tcPr>
            <w:tcW w:w="6987" w:type="dxa"/>
            <w:tcBorders>
              <w:top w:val="single" w:color="AFC3BE" w:sz="4" w:space="0"/>
              <w:left w:val="single" w:color="AFC3BE" w:sz="4" w:space="0"/>
              <w:bottom w:val="single" w:color="AFC3BE" w:sz="4" w:space="0"/>
              <w:right w:val="single" w:color="AFC3BE" w:sz="4" w:space="0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1A3691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1"/>
              </w:rPr>
              <w:t>中医科专家填写的《五运六气问卷2026.6.30》及相关专家讨论意见</w:t>
            </w:r>
          </w:p>
        </w:tc>
      </w:tr>
    </w:tbl>
    <w:p w14:paraId="0DBCD006">
      <w:pPr>
        <w:keepNext w:val="0"/>
        <w:widowControl/>
        <w:spacing w:before="560" w:after="0" w:line="324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F6B6D"/>
          <w:sz w:val="21"/>
        </w:rPr>
        <w:t>成都市第三人民医院 · 中医科 / 信息管理部</w:t>
      </w:r>
    </w:p>
    <w:p w14:paraId="74067A3B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FA72E1B">
      <w:pPr>
        <w:keepNext/>
        <w:widowControl/>
        <w:shd w:val="clear" w:fill="E8F2EF"/>
        <w:spacing w:before="160" w:after="140" w:line="276" w:lineRule="auto"/>
        <w:ind w:left="8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54E45"/>
          <w:sz w:val="30"/>
          <w:lang w:val="en-US" w:eastAsia="zh-CN"/>
        </w:rPr>
        <w:t>一</w:t>
      </w:r>
      <w:r>
        <w:rPr>
          <w:rFonts w:hint="eastAsia" w:ascii="宋体" w:hAnsi="宋体" w:eastAsia="宋体" w:cs="宋体"/>
          <w:b/>
          <w:color w:val="154E45"/>
          <w:sz w:val="30"/>
        </w:rPr>
        <w:t xml:space="preserve">  第一阶段正式采用的规则</w:t>
      </w:r>
    </w:p>
    <w:p w14:paraId="3653D37F">
      <w:pPr>
        <w:keepNext/>
        <w:widowControl/>
        <w:spacing w:before="80"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54E45"/>
          <w:sz w:val="24"/>
        </w:rPr>
        <w:t>2.1 历法、年界与交节口径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387"/>
        <w:gridCol w:w="6274"/>
      </w:tblGrid>
      <w:tr w14:paraId="530A2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FD57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7DA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规则名称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3F9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正式采用口径</w:t>
            </w:r>
          </w:p>
        </w:tc>
      </w:tr>
      <w:tr w14:paraId="73E82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B110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R-01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CE7B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统一时间口径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975A9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全国统一按北京时间理解日期和节气交接；患者所在地可记录，但不改变交节归属。</w:t>
            </w:r>
          </w:p>
        </w:tc>
      </w:tr>
      <w:tr w14:paraId="56383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CFFC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R-02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7FF2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运气年起点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B972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运气年从当年大寒的实际交节时刻开始，至下一年大寒实际交节时刻之前结束。</w:t>
            </w:r>
          </w:p>
        </w:tc>
      </w:tr>
      <w:tr w14:paraId="54537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17F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R-03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D1FC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大寒前后归属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7D039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当年大寒交节前仍属上一运气年；自大寒交节时刻起归入当年运气年。</w:t>
            </w:r>
          </w:p>
        </w:tc>
      </w:tr>
      <w:tr w14:paraId="1FD0A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9CEC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R-04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15B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交节时刻切换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D4C60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按实际交节时刻切换，不按交节日零时或次日零时统一切换。</w:t>
            </w:r>
          </w:p>
        </w:tc>
      </w:tr>
      <w:tr w14:paraId="37869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158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R-05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333E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年干支归属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0B325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先确定运气年，再确定该运气年的干支；五运六气年干支不随春节或立春再次改变。</w:t>
            </w:r>
          </w:p>
        </w:tc>
      </w:tr>
      <w:tr w14:paraId="515AD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8704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R-06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0AA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六步分界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9FD1D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初、二、三、四、五、终之气分别以大寒、春分、小满、大暑、秋分、小雪的实际交节时刻为起点。</w:t>
            </w:r>
          </w:p>
        </w:tc>
      </w:tr>
      <w:tr w14:paraId="5D396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EA00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R-07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3EE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边界归属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A082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交节时刻到达即进入新一步；前一步止于交节时刻之前。</w:t>
            </w:r>
          </w:p>
        </w:tc>
      </w:tr>
      <w:tr w14:paraId="253D2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1B70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R-08</w:t>
            </w:r>
          </w:p>
        </w:tc>
        <w:tc>
          <w:tcPr>
            <w:tcW w:w="238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D64B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查询范围</w:t>
            </w:r>
          </w:p>
        </w:tc>
        <w:tc>
          <w:tcPr>
            <w:tcW w:w="627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58263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第一阶段正式支持1900—2100年；超出范围暂不作为正式核验结果。</w:t>
            </w:r>
          </w:p>
        </w:tc>
      </w:tr>
    </w:tbl>
    <w:p w14:paraId="29058C7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8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2.2 五运基础规则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400"/>
        <w:gridCol w:w="6261"/>
      </w:tblGrid>
      <w:tr w14:paraId="0BEF2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E67F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E39F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规则名称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220B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正式采用口径</w:t>
            </w:r>
          </w:p>
        </w:tc>
      </w:tr>
      <w:tr w14:paraId="43121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D945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R-09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7834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十干化运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56AD4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甲己化土，乙庚化金，丙辛化水，丁壬化木，戊癸化火。</w:t>
            </w:r>
          </w:p>
        </w:tc>
      </w:tr>
      <w:tr w14:paraId="61D38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B67D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R-10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081A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太过与不及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8E0D6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甲、丙、戊、庚、壬五个阳干为太过；乙、丁、己、辛、癸五个阴干为不及。该项为理论标记，不直接等同于实际气候强弱。</w:t>
            </w:r>
          </w:p>
        </w:tc>
      </w:tr>
      <w:tr w14:paraId="774BF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AFE0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R-11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3C1D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五音对应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8374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木—角、火—徵、土—宫、金—商、水—羽；太过用“太”，不及用“少”。</w:t>
            </w:r>
          </w:p>
        </w:tc>
      </w:tr>
      <w:tr w14:paraId="36BD2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D6B0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R-12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274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页面表达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19FB3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主结果优先显示“某运太过/不及”，五音在括号或术语说明中补充，例如“水运太过（太羽）”。</w:t>
            </w:r>
          </w:p>
        </w:tc>
      </w:tr>
      <w:tr w14:paraId="457CB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51A6F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R-13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721F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岁运解释边界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8D2EA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第一阶段只给基础定义和中性教学说明，不自动延伸为疾病、证候、治法或方药倾向。</w:t>
            </w:r>
          </w:p>
        </w:tc>
      </w:tr>
    </w:tbl>
    <w:p w14:paraId="0792AD25">
      <w:pPr>
        <w:keepNext/>
        <w:keepLines w:val="0"/>
        <w:pageBreakBefore w:val="0"/>
        <w:widowControl/>
        <w:shd w:val="clear" w:fill="E8F2EF"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140" w:line="276" w:lineRule="auto"/>
        <w:ind w:left="85"/>
        <w:textAlignment w:val="auto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54E45"/>
          <w:sz w:val="30"/>
          <w:szCs w:val="30"/>
        </w:rPr>
        <w:t>二  第一阶段正式采用的规则（续）</w:t>
      </w:r>
    </w:p>
    <w:p w14:paraId="02671A95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2.3 六气、司天在泉与六步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400"/>
        <w:gridCol w:w="6261"/>
      </w:tblGrid>
      <w:tr w14:paraId="1F621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DBED2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9CD6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规则名称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5601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正式采用口径</w:t>
            </w:r>
          </w:p>
        </w:tc>
      </w:tr>
      <w:tr w14:paraId="7F41A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B4BF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R-14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CE80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六气名称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F56C7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厥阴风木、少阴君火、太阴湿土、少阳相火、阳明燥金、太阳寒水。君火与相火均属火，但名称和含义必须保留，不能合并。</w:t>
            </w:r>
          </w:p>
        </w:tc>
      </w:tr>
      <w:tr w14:paraId="6E9AB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71DBF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R-15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483F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年支定司天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F13FC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子午少阴、丑未太阴、寅申少阳、卯酉阳明、辰戌太阳、巳亥厥阴司天。</w:t>
            </w:r>
          </w:p>
        </w:tc>
      </w:tr>
      <w:tr w14:paraId="71179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9645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R-16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E497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司天与在泉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7E812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子午：少阴君火/阳明燥金；丑未：太阴湿土/太阳寒水；寅申：少阳相火/厥阴风木；卯酉：阳明燥金/少阴君火；辰戌：太阳寒水/太阴湿土；巳亥：厥阴风木/少阳相火。</w:t>
            </w:r>
          </w:p>
        </w:tc>
      </w:tr>
      <w:tr w14:paraId="01615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52D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R-17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4BE52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主气固定次序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BC164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厥阴风木→少阴君火→少阳相火→太阴湿土→阳明燥金→太阳寒水，年年不变。</w:t>
            </w:r>
          </w:p>
        </w:tc>
      </w:tr>
      <w:tr w14:paraId="574C5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41B5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R-18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4EA9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客气循环次序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F24D7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厥阴→少阴→太阴→少阳→阳明→太阳，首尾相接。该次序不得与主气次序混用。</w:t>
            </w:r>
          </w:p>
        </w:tc>
      </w:tr>
      <w:tr w14:paraId="6F397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611A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R-19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F552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司天在泉定位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374E6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每年三之气的客气为司天，终之气的客气为在泉。</w:t>
            </w:r>
          </w:p>
        </w:tc>
      </w:tr>
      <w:tr w14:paraId="6B368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943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R-20</w:t>
            </w:r>
          </w:p>
        </w:tc>
        <w:tc>
          <w:tcPr>
            <w:tcW w:w="240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B88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四间气排列</w:t>
            </w:r>
          </w:p>
        </w:tc>
        <w:tc>
          <w:tcPr>
            <w:tcW w:w="626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F78E7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以司天居三之气为中心，按客气三阴三阳次序向前、向后连续排列，形成初、二、四、五之气。</w:t>
            </w:r>
          </w:p>
        </w:tc>
      </w:tr>
    </w:tbl>
    <w:p w14:paraId="06628A15">
      <w:pPr>
        <w:rPr>
          <w:rFonts w:hint="eastAsia" w:ascii="宋体" w:hAnsi="宋体" w:eastAsia="宋体" w:cs="宋体"/>
          <w:b/>
          <w:color w:val="154E45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br w:type="page"/>
      </w:r>
    </w:p>
    <w:p w14:paraId="36304885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541" w:afterLines="15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2.4 客主加临基础关系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412"/>
        <w:gridCol w:w="6249"/>
      </w:tblGrid>
      <w:tr w14:paraId="74B4E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A3EE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E408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规则名称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0A8A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正式采用口径</w:t>
            </w:r>
          </w:p>
        </w:tc>
      </w:tr>
      <w:tr w14:paraId="38CB0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1110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R-21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B79A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主生客、客生主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56C5C">
            <w:pPr>
              <w:keepNext w:val="0"/>
              <w:spacing w:before="0" w:after="0" w:line="283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均可归入“相得”，但必须保留生化方向，分别显示“主生客，相得”“客生主，相得”。</w:t>
            </w:r>
          </w:p>
        </w:tc>
      </w:tr>
      <w:tr w14:paraId="52D62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15B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R-22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EE04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不作和病细分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166BD">
            <w:pPr>
              <w:keepNext w:val="0"/>
              <w:spacing w:before="0" w:after="0" w:line="283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第一阶段不自动细分“相得而和”“相得而病”，不由客主关系直接推出气候、证候或疾病结论。</w:t>
            </w:r>
          </w:p>
        </w:tc>
      </w:tr>
      <w:tr w14:paraId="42F13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9FD0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R-23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E2CD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专业术语边界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9A141">
            <w:pPr>
              <w:keepNext w:val="0"/>
              <w:spacing w:before="0" w:after="0" w:line="283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“主胜客，逆”“客胜主，从”等传统术语只用于医生专业页面，并配中性解释；患者科普页面不直接展示。</w:t>
            </w:r>
          </w:p>
        </w:tc>
      </w:tr>
    </w:tbl>
    <w:p w14:paraId="5541DD9B">
      <w:pPr>
        <w:keepNext/>
        <w:widowControl/>
        <w:shd w:val="clear" w:fill="E8F2EF"/>
        <w:spacing w:before="160" w:after="140" w:line="276" w:lineRule="auto"/>
        <w:ind w:left="85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54E45"/>
          <w:sz w:val="30"/>
          <w:szCs w:val="30"/>
        </w:rPr>
        <w:t>二  第一阶段正式采用的规则（续）</w:t>
      </w:r>
    </w:p>
    <w:p w14:paraId="1F044A1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541" w:afterLines="15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2.5 问诊关联、医生解释权与医疗安全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412"/>
        <w:gridCol w:w="6249"/>
      </w:tblGrid>
      <w:tr w14:paraId="6E2C5483">
        <w:trPr>
          <w:cantSplit/>
          <w:tblHeader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D556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2F59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规则名称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353D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正式采用口径</w:t>
            </w:r>
          </w:p>
        </w:tc>
      </w:tr>
      <w:tr w14:paraId="1BA7A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B05A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R-24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2192F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发病与就诊时气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A73A1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有明确发病日期时，同时展示“起病时气”和“就诊时气”；无明确发病日期时，只展示就诊时气并提示起病时间信息不足。</w:t>
            </w:r>
          </w:p>
        </w:tc>
      </w:tr>
      <w:tr w14:paraId="0DAFA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6BE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R-25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012E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症状关联原则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05AA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单个症状不得直接定性；系统只整理线索，多项相关表现一致时可提示“线索相对集中”，仍须医生结合四诊辨析。</w:t>
            </w:r>
          </w:p>
        </w:tc>
      </w:tr>
      <w:tr w14:paraId="5A0BF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D7E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R-26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A0A8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六淫线索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45FE5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风、寒、暑、湿、燥、火只作为问诊线索分类，不作为病因或证候的自动结论。</w:t>
            </w:r>
          </w:p>
        </w:tc>
      </w:tr>
      <w:tr w14:paraId="5DB46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0039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R-27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523B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八纲线索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6080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第一阶段只提示寒、热、虚、实、表、里等单项线索，不自动组合成完整证型。</w:t>
            </w:r>
          </w:p>
        </w:tc>
      </w:tr>
      <w:tr w14:paraId="3F31C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C37E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R-28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140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舌脉资料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3469C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只使用医生实际录入的舌象、脉象作为支持证据；不自动推测，不根据年份或时气反推患者应见舌脉。</w:t>
            </w:r>
          </w:p>
        </w:tc>
      </w:tr>
      <w:tr w14:paraId="4701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D666F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R-29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CF9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不做图像识别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CA0FE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第一阶段不开展舌象图片自动识别。</w:t>
            </w:r>
          </w:p>
        </w:tc>
      </w:tr>
      <w:tr w14:paraId="66715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AD3A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R-30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7C18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提示强弱表达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955BE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采用“线索较少、存在若干相关表现、线索相对集中”等文字，不显示概率、置信度百分比或确定性诊断语言。</w:t>
            </w:r>
          </w:p>
        </w:tc>
      </w:tr>
      <w:tr w14:paraId="16EBC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C63C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R-31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95B4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时气对应表述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D59A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统一表述为“在传统五运六气理论中存在对应，可供医生结合四诊进一步辨析”，不得表述为直接因果。</w:t>
            </w:r>
          </w:p>
        </w:tc>
      </w:tr>
      <w:tr w14:paraId="52999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DE60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R-32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F12C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医生最终解释权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13DFA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每条系统提示允许医生选择采纳、不采纳或待观察，并可填写理由；医生意见为最终临床解释。</w:t>
            </w:r>
          </w:p>
        </w:tc>
      </w:tr>
      <w:tr w14:paraId="3AA01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24EF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R-33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8E60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患者可见范围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FDE36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如后续设置患者科普，只开放经专家审核的科普文本；证候线索、客主顺逆、专家点评不直接开放。</w:t>
            </w:r>
          </w:p>
        </w:tc>
      </w:tr>
      <w:tr w14:paraId="27D49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0D53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R-34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08A6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诊疗安全边界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C000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明确禁止自动推荐治法、方剂、中药、剂量，禁止自动作出疾病诊断、证型结论或疾病流行预测。</w:t>
            </w:r>
          </w:p>
        </w:tc>
      </w:tr>
      <w:tr w14:paraId="54A2F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FD1E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R-35</w:t>
            </w:r>
          </w:p>
        </w:tc>
        <w:tc>
          <w:tcPr>
            <w:tcW w:w="2412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1A76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第一阶段单一口径</w:t>
            </w:r>
          </w:p>
        </w:tc>
        <w:tc>
          <w:tcPr>
            <w:tcW w:w="6249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6B2BB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第一阶段只使用本院共识规则，不提供多学派切换或多套结果并列。</w:t>
            </w:r>
          </w:p>
        </w:tc>
      </w:tr>
    </w:tbl>
    <w:p w14:paraId="3BBAA49E">
      <w:pPr>
        <w:keepNext/>
        <w:keepLines w:val="0"/>
        <w:pageBreakBefore w:val="0"/>
        <w:widowControl/>
        <w:shd w:val="clear" w:fill="E8F2EF"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541" w:afterLines="150" w:line="276" w:lineRule="auto"/>
        <w:ind w:left="85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三  9项“有条件同意”事项的落地处理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639"/>
      </w:tblGrid>
      <w:tr w14:paraId="71B01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D8C89E" w:sz="6" w:space="0"/>
              <w:left w:val="single" w:color="D8C89E" w:sz="6" w:space="0"/>
              <w:bottom w:val="single" w:color="D8C89E" w:sz="6" w:space="0"/>
              <w:right w:val="single" w:color="D8C89E" w:sz="6" w:space="0"/>
            </w:tcBorders>
            <w:shd w:val="clear" w:color="auto" w:fill="F7F1E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37C434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B48A3C"/>
                <w:sz w:val="24"/>
                <w:szCs w:val="24"/>
              </w:rPr>
              <w:t>处理原则</w:t>
            </w:r>
          </w:p>
        </w:tc>
        <w:tc>
          <w:tcPr>
            <w:tcW w:w="7639" w:type="dxa"/>
            <w:tcBorders>
              <w:top w:val="single" w:color="D8C89E" w:sz="6" w:space="0"/>
              <w:left w:val="single" w:color="D8C89E" w:sz="6" w:space="0"/>
              <w:bottom w:val="single" w:color="D8C89E" w:sz="6" w:space="0"/>
              <w:right w:val="single" w:color="D8C89E" w:sz="6" w:space="0"/>
            </w:tcBorders>
            <w:shd w:val="clear" w:color="auto" w:fill="F7F1E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F3855E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以下9项已获得原则同意，但专家提出了范围、表述或后续核验条件。第一阶段按下列方式执行；超出下列范围的部分继续保留为后续任务。</w:t>
            </w:r>
          </w:p>
        </w:tc>
      </w:tr>
    </w:tbl>
    <w:p w14:paraId="0B1531B4">
      <w:pPr>
        <w:widowControl/>
        <w:spacing w:after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1450"/>
        <w:gridCol w:w="5850"/>
        <w:gridCol w:w="1375"/>
      </w:tblGrid>
      <w:tr w14:paraId="48B7F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441B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B632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事项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03E6C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确定的落地处理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5442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阶段</w:t>
            </w:r>
          </w:p>
        </w:tc>
      </w:tr>
      <w:tr w14:paraId="125E2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9483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C-01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7DC3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同气关系及君火、相火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828BC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同五行可作为基础关系判断，但必须保留六气原名称。系统区分“同一六气”与“同属五行但六气不同”；少阴君火与少阳相火不得合并为同一名称。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6CEF4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第一阶段执行</w:t>
            </w:r>
          </w:p>
        </w:tc>
      </w:tr>
      <w:tr w14:paraId="132EB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EEB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C-02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F77F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主克客的传统名称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6278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医生端可显示“主胜客，逆”，并附注“仅表示传统五行制约关系，不代表吉凶或疾病结论”；患者端不显示该专业术语。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7DFAD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第一阶段限制使用</w:t>
            </w:r>
          </w:p>
        </w:tc>
      </w:tr>
      <w:tr w14:paraId="3C15B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8566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C-03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60CDC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客克主的传统名称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A2E9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医生端可显示“客胜主，从”，并附注中性解释；患者端不显示，不依据“从”字作有利或不利判断。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A0A51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第一阶段限制使用</w:t>
            </w:r>
          </w:p>
        </w:tc>
      </w:tr>
      <w:tr w14:paraId="6C1DB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BF2E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C-04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010FF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主运太少排法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582A9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先由中医专家确认10种年干的主运太少模板，再扩展为60甲子核对表；未完成签认前，不进入第一阶段正式结果。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D4F2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转入第二阶段</w:t>
            </w:r>
          </w:p>
        </w:tc>
      </w:tr>
      <w:tr w14:paraId="7D15B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CDDD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C-05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324B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先天十三日、后天十三日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740C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仅作为岁运气至先后的说明字段；不得改变运气年起点、年干支、司天在泉或六气六步边界。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8AEE0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转入第二阶段</w:t>
            </w:r>
          </w:p>
        </w:tc>
      </w:tr>
      <w:tr w14:paraId="499B6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5916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C-06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55CF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岁会判定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CEC22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以专家确认的传统年份表为最终依据；五行关系计算只用于辅助核对，不替代传统年份表。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BBE46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转入第二阶段</w:t>
            </w:r>
          </w:p>
        </w:tc>
      </w:tr>
      <w:tr w14:paraId="3298D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CB752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C-07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6B0F2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平气与实际物候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ECDC9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“理论平气”和“实际气候、物候、临床观察”分栏记录，互不覆盖；实际观察不能反向修改理论推算结果。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1B9ED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转入第二阶段</w:t>
            </w:r>
          </w:p>
        </w:tc>
      </w:tr>
      <w:tr w14:paraId="3629A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526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C-08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B708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多学派规则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4B62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第一阶段只启用本院统一共识口径；保留未来扩展能力，但页面不设置学派切换，不并列展示多套结果。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17C34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第一阶段执行</w:t>
            </w:r>
          </w:p>
        </w:tc>
      </w:tr>
      <w:tr w14:paraId="7FB92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DACC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C-09</w:t>
            </w:r>
          </w:p>
        </w:tc>
        <w:tc>
          <w:tcPr>
            <w:tcW w:w="14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3C54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经典和教材依据层级</w:t>
            </w:r>
          </w:p>
        </w:tc>
        <w:tc>
          <w:tcPr>
            <w:tcW w:w="585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58261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按本确认单第四部分确定的依据层级执行；每条重要规则逐步补充书名、版本、篇章或页码。来源未明确且存在争议的规则暂不进入正式结果。</w:t>
            </w:r>
          </w:p>
        </w:tc>
        <w:tc>
          <w:tcPr>
            <w:tcW w:w="1375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825D2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第一阶段启动、持续补充</w:t>
            </w:r>
          </w:p>
        </w:tc>
      </w:tr>
    </w:tbl>
    <w:p w14:paraId="6B36CAD3">
      <w:pPr>
        <w:keepNext w:val="0"/>
        <w:widowControl/>
        <w:spacing w:before="160" w:after="40" w:line="324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专家对上述9项处理的补充意见：</w:t>
      </w:r>
    </w:p>
    <w:p w14:paraId="741347E4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1. 第一阶段所有理论推算结果与临床观察结果建议分栏存储，页面展示</w:t>
      </w:r>
      <w:r>
        <w:rPr>
          <w:rFonts w:hint="eastAsia" w:eastAsia="宋体"/>
          <w:lang w:val="en-US" w:eastAsia="zh-CN"/>
        </w:rPr>
        <w:t>最好不要</w:t>
      </w:r>
      <w:r>
        <w:t>互相覆盖。</w:t>
      </w:r>
    </w:p>
    <w:p w14:paraId="718EB0B3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2. 医生端与患者端文本建议分版本管理；患者端默认关闭，仅开放已审核的固定科普语句。</w:t>
      </w:r>
    </w:p>
    <w:p w14:paraId="147CE365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3. 交节时刻、特殊年份表、映射模板如后续修订，</w:t>
      </w:r>
      <w:r>
        <w:rPr>
          <w:rFonts w:hint="eastAsia" w:eastAsia="宋体"/>
          <w:lang w:val="en-US" w:eastAsia="zh-CN"/>
        </w:rPr>
        <w:t>最好</w:t>
      </w:r>
      <w:r>
        <w:t>同步升级规则版本号，并保留旧病例回看能力。</w:t>
      </w:r>
    </w:p>
    <w:p w14:paraId="0BB2129E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4. 生效日期建议以最终签署冻结日期为准；若尚未完成签署，可在对外版本中标注“待定”或注明“拟生效日期”。</w:t>
      </w:r>
    </w:p>
    <w:p w14:paraId="01135069">
      <w:pPr>
        <w:rPr>
          <w:rFonts w:hint="eastAsia" w:ascii="宋体" w:hAnsi="宋体" w:eastAsia="宋体" w:cs="宋体"/>
          <w:b/>
          <w:color w:val="154E45"/>
          <w:sz w:val="30"/>
          <w:szCs w:val="30"/>
        </w:rPr>
      </w:pPr>
      <w:r>
        <w:rPr>
          <w:rFonts w:hint="eastAsia" w:ascii="宋体" w:hAnsi="宋体" w:eastAsia="宋体" w:cs="宋体"/>
          <w:b/>
          <w:color w:val="154E45"/>
          <w:sz w:val="30"/>
          <w:szCs w:val="30"/>
        </w:rPr>
        <w:br w:type="page"/>
      </w:r>
    </w:p>
    <w:p w14:paraId="76D05318">
      <w:pPr>
        <w:keepNext/>
        <w:widowControl/>
        <w:shd w:val="clear" w:fill="E8F2EF"/>
        <w:spacing w:before="160" w:after="140" w:line="276" w:lineRule="auto"/>
        <w:ind w:left="85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54E45"/>
          <w:sz w:val="30"/>
          <w:szCs w:val="30"/>
        </w:rPr>
        <w:t>四  明确不纳入第一阶段的内容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627"/>
      </w:tblGrid>
      <w:tr w14:paraId="2FA41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D8C89E" w:sz="6" w:space="0"/>
              <w:left w:val="single" w:color="D8C89E" w:sz="6" w:space="0"/>
              <w:bottom w:val="single" w:color="D8C89E" w:sz="6" w:space="0"/>
              <w:right w:val="single" w:color="D8C89E" w:sz="6" w:space="0"/>
            </w:tcBorders>
            <w:shd w:val="clear" w:color="auto" w:fill="F7F1E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8CA6E9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B48A3C"/>
                <w:sz w:val="24"/>
                <w:szCs w:val="24"/>
              </w:rPr>
              <w:t>范围说明</w:t>
            </w:r>
          </w:p>
        </w:tc>
        <w:tc>
          <w:tcPr>
            <w:tcW w:w="7627" w:type="dxa"/>
            <w:tcBorders>
              <w:top w:val="single" w:color="D8C89E" w:sz="6" w:space="0"/>
              <w:left w:val="single" w:color="D8C89E" w:sz="6" w:space="0"/>
              <w:bottom w:val="single" w:color="D8C89E" w:sz="6" w:space="0"/>
              <w:right w:val="single" w:color="D8C89E" w:sz="6" w:space="0"/>
            </w:tcBorders>
            <w:shd w:val="clear" w:color="auto" w:fill="F7F1E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9EEAB4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下列内容不是被永久否定，而是因规则复杂度、核验条件、医疗安全或当前项目目标，暂不进入第一阶段开发和正式结果。后续需另行立项、审核和签署。</w:t>
            </w:r>
          </w:p>
        </w:tc>
      </w:tr>
    </w:tbl>
    <w:tbl>
      <w:tblPr>
        <w:tblStyle w:val="32"/>
        <w:tblpPr w:leftFromText="180" w:rightFromText="180" w:vertAnchor="text" w:horzAnchor="page" w:tblpX="1370" w:tblpY="427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1957"/>
        <w:gridCol w:w="6917"/>
      </w:tblGrid>
      <w:tr w14:paraId="429F61A2">
        <w:trPr>
          <w:cantSplit/>
          <w:tblHeader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C335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序号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CD0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不纳入项目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265E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第一阶段处理</w:t>
            </w:r>
          </w:p>
        </w:tc>
      </w:tr>
      <w:tr w14:paraId="222F1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D8A9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1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D46E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高级五运规则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29057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主运太少完整排法、主运传统交司时刻的现代时间换算、客运、岁运先天/后天十三日的计算展示。</w:t>
            </w:r>
          </w:p>
        </w:tc>
      </w:tr>
      <w:tr w14:paraId="3DA12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978A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2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BEAA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运气同化及特殊年份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15767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天符、岁会、太乙天符、同天符、同岁会的正式判定与临床解释。</w:t>
            </w:r>
          </w:p>
        </w:tc>
      </w:tr>
      <w:tr w14:paraId="2E16D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721C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3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4D4B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高级运气理论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ED49F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平气的实际物候校正、胜复、郁发、南北政与脉应、标本中气。</w:t>
            </w:r>
          </w:p>
        </w:tc>
      </w:tr>
      <w:tr w14:paraId="7D17D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DEFA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4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5E4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多学派并行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A4DC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多学派切换、多套规则同时计算、多结果并列比较。</w:t>
            </w:r>
          </w:p>
        </w:tc>
      </w:tr>
      <w:tr w14:paraId="3D64A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4D78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5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CAA5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自动辨证诊疗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821E9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自动证型、自动诊断、治法推荐、方剂推荐、中药及剂量建议、疗程建议、疾病预测。</w:t>
            </w:r>
          </w:p>
        </w:tc>
      </w:tr>
      <w:tr w14:paraId="5BA5B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AE2D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6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6C33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医学图像智能识别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3B55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舌象图片自动识别、脉象设备自动判读以及由时气反推舌脉。</w:t>
            </w:r>
          </w:p>
        </w:tc>
      </w:tr>
      <w:tr w14:paraId="17E15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7F43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7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EE3A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大模型自动解释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A2D2B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本地或在线大模型自动生成临床解释、诊断、治法和方药；第一阶段只使用经审核的固定文字模板。</w:t>
            </w:r>
          </w:p>
        </w:tc>
      </w:tr>
      <w:tr w14:paraId="4EB2D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59DE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8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A065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真实临床系统接入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F3D95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不接HIS、EMR、患者主索引，不保存真实姓名、身份证号、手机号、门诊号、住院号等身份信息。</w:t>
            </w:r>
          </w:p>
        </w:tc>
      </w:tr>
      <w:tr w14:paraId="20B6D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7090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9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C8E2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患者完整专业版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95ED4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不向患者直接开放医生版证候线索、客主顺逆、专家点评及专业规则结果。</w:t>
            </w:r>
          </w:p>
        </w:tc>
      </w:tr>
      <w:tr w14:paraId="2D62D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1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6B9E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10</w:t>
            </w:r>
          </w:p>
        </w:tc>
        <w:tc>
          <w:tcPr>
            <w:tcW w:w="195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FCC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象数文化模块</w:t>
            </w:r>
          </w:p>
        </w:tc>
        <w:tc>
          <w:tcPr>
            <w:tcW w:w="6917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1201E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不纳入紫微斗数、八字、易经八卦、奇门遁甲等象数文化实验功能。</w:t>
            </w:r>
          </w:p>
        </w:tc>
      </w:tr>
    </w:tbl>
    <w:p w14:paraId="14930068">
      <w:pPr>
        <w:keepNext w:val="0"/>
        <w:widowControl/>
        <w:spacing w:before="160" w:after="40" w:line="324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第一阶段排除项补充：</w:t>
      </w:r>
    </w:p>
    <w:p w14:paraId="6589AF09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1. 排除项可以预留隐藏字段或配置位，但</w:t>
      </w:r>
      <w:r>
        <w:rPr>
          <w:rFonts w:hint="eastAsia" w:eastAsia="宋体"/>
          <w:lang w:val="en-US" w:eastAsia="zh-CN"/>
        </w:rPr>
        <w:t>最好不要</w:t>
      </w:r>
      <w:r>
        <w:t>在第一阶段页面展示，也</w:t>
      </w:r>
      <w:r>
        <w:rPr>
          <w:rFonts w:hint="eastAsia" w:eastAsia="宋体"/>
          <w:lang w:val="en-US" w:eastAsia="zh-CN"/>
        </w:rPr>
        <w:t>不要</w:t>
      </w:r>
      <w:r>
        <w:t>参与自动推断。</w:t>
      </w:r>
    </w:p>
    <w:p w14:paraId="466E15DF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2. 涉及真实临床系统、身份信息、图像识别或大模型解释的功能，建议单独完成数据安全、伦理与院内审批后再议。</w:t>
      </w:r>
    </w:p>
    <w:p w14:paraId="24DEA347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3. 第二阶段如恢复某排除项，建议先形成可复核的决策表、测试样例和专家确认记录，再进入正式开发。</w:t>
      </w:r>
    </w:p>
    <w:p w14:paraId="27FE77BA">
      <w:pPr>
        <w:keepNext/>
        <w:widowControl/>
        <w:shd w:val="clear" w:fill="E8F2EF"/>
        <w:spacing w:before="160" w:after="140" w:line="276" w:lineRule="auto"/>
        <w:ind w:left="85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54E45"/>
          <w:sz w:val="30"/>
          <w:szCs w:val="30"/>
        </w:rPr>
        <w:t>五  经典依据优先级与争议处理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688"/>
      </w:tblGrid>
      <w:tr w14:paraId="7C7DD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D8C89E" w:sz="6" w:space="0"/>
              <w:left w:val="single" w:color="D8C89E" w:sz="6" w:space="0"/>
              <w:bottom w:val="single" w:color="D8C89E" w:sz="6" w:space="0"/>
              <w:right w:val="single" w:color="D8C89E" w:sz="6" w:space="0"/>
            </w:tcBorders>
            <w:shd w:val="clear" w:color="auto" w:fill="F7F1E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75844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B48A3C"/>
                <w:sz w:val="24"/>
                <w:szCs w:val="24"/>
              </w:rPr>
              <w:t>拟确认原则</w:t>
            </w:r>
          </w:p>
        </w:tc>
        <w:tc>
          <w:tcPr>
            <w:tcW w:w="7688" w:type="dxa"/>
            <w:tcBorders>
              <w:top w:val="single" w:color="D8C89E" w:sz="6" w:space="0"/>
              <w:left w:val="single" w:color="D8C89E" w:sz="6" w:space="0"/>
              <w:bottom w:val="single" w:color="D8C89E" w:sz="6" w:space="0"/>
              <w:right w:val="single" w:color="D8C89E" w:sz="6" w:space="0"/>
            </w:tcBorders>
            <w:shd w:val="clear" w:color="auto" w:fill="F7F1E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A21ED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规则应做到“有出处、可复核”。不同来源发生冲突时，不由软件开发人员自行取舍，应按下列层级提交中医科专家讨论并形成书面结论。</w:t>
            </w:r>
          </w:p>
        </w:tc>
      </w:tr>
    </w:tbl>
    <w:p w14:paraId="62786EB0">
      <w:pPr>
        <w:widowControl/>
        <w:spacing w:after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2368"/>
        <w:gridCol w:w="5956"/>
      </w:tblGrid>
      <w:tr w14:paraId="13BA3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C89E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优先层级</w:t>
            </w:r>
          </w:p>
        </w:tc>
        <w:tc>
          <w:tcPr>
            <w:tcW w:w="2368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F06F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依据类型</w:t>
            </w:r>
          </w:p>
        </w:tc>
        <w:tc>
          <w:tcPr>
            <w:tcW w:w="595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B09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采用说明</w:t>
            </w:r>
          </w:p>
        </w:tc>
      </w:tr>
      <w:tr w14:paraId="6850F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438F6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第一层</w:t>
            </w:r>
          </w:p>
        </w:tc>
        <w:tc>
          <w:tcPr>
            <w:tcW w:w="2368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7616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经典原文及经中医科确认的权威注本</w:t>
            </w:r>
          </w:p>
        </w:tc>
        <w:tc>
          <w:tcPr>
            <w:tcW w:w="595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7EB98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用于确认基本概念、原始规则和理论源流。</w:t>
            </w:r>
          </w:p>
        </w:tc>
      </w:tr>
      <w:tr w14:paraId="7404E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63A69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第二层</w:t>
            </w:r>
          </w:p>
        </w:tc>
        <w:tc>
          <w:tcPr>
            <w:tcW w:w="2368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8A253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国家统编教材、国家规划教材或公认权威教材</w:t>
            </w:r>
          </w:p>
        </w:tc>
        <w:tc>
          <w:tcPr>
            <w:tcW w:w="595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FB853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用于形成现代教学中通行、可操作的解释和表述。</w:t>
            </w:r>
          </w:p>
        </w:tc>
      </w:tr>
      <w:tr w14:paraId="3144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41BD0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第三层</w:t>
            </w:r>
          </w:p>
        </w:tc>
        <w:tc>
          <w:tcPr>
            <w:tcW w:w="2368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90DD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本院中医科专家集体共识</w:t>
            </w:r>
          </w:p>
        </w:tc>
        <w:tc>
          <w:tcPr>
            <w:tcW w:w="595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EE164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用于处理经典、注本或教材间的差异，确定本院实际采用口径及页面文字。</w:t>
            </w:r>
          </w:p>
        </w:tc>
      </w:tr>
      <w:tr w14:paraId="0694A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CD9DB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第四层</w:t>
            </w:r>
          </w:p>
        </w:tc>
        <w:tc>
          <w:tcPr>
            <w:tcW w:w="2368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5B67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权威专著、学术论文、专业学会资料</w:t>
            </w:r>
          </w:p>
        </w:tc>
        <w:tc>
          <w:tcPr>
            <w:tcW w:w="595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C372C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作为补充证据和争议讨论材料，不单独替代前三层共识。</w:t>
            </w:r>
          </w:p>
        </w:tc>
      </w:tr>
      <w:tr w14:paraId="23710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3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B0A4E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第五层</w:t>
            </w:r>
          </w:p>
        </w:tc>
        <w:tc>
          <w:tcPr>
            <w:tcW w:w="2368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0442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开源程序、社区文章、个人计算器等</w:t>
            </w:r>
          </w:p>
        </w:tc>
        <w:tc>
          <w:tcPr>
            <w:tcW w:w="5956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598CB">
            <w:pPr>
              <w:keepNext w:val="0"/>
              <w:spacing w:before="0" w:after="0" w:line="283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仅用于发现线索和交叉核对，不作为正式规则的唯一依据。</w:t>
            </w:r>
          </w:p>
        </w:tc>
      </w:tr>
    </w:tbl>
    <w:p w14:paraId="71FB5BD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8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5.1 发生冲突时的处理办法</w:t>
      </w:r>
    </w:p>
    <w:p w14:paraId="011AF9F5">
      <w:pPr>
        <w:keepNext w:val="0"/>
        <w:widowControl/>
        <w:spacing w:before="0" w:after="50" w:line="307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236B5E"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b w:val="0"/>
          <w:color w:val="263238"/>
          <w:sz w:val="24"/>
          <w:szCs w:val="24"/>
        </w:rPr>
        <w:t>首先核对是否属于不同概念、不同层次或不同学派，避免把本来可以并存的表述误判为冲突。</w:t>
      </w:r>
    </w:p>
    <w:p w14:paraId="5FDAD80B">
      <w:pPr>
        <w:keepNext w:val="0"/>
        <w:widowControl/>
        <w:spacing w:before="0" w:after="50" w:line="307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236B5E"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b w:val="0"/>
          <w:color w:val="263238"/>
          <w:sz w:val="24"/>
          <w:szCs w:val="24"/>
        </w:rPr>
        <w:t>确有冲突时，由中医科专家集体讨论，形成会议纪要或书面说明，明确本院第一阶段采用哪一口径。</w:t>
      </w:r>
    </w:p>
    <w:p w14:paraId="1E278BFA">
      <w:pPr>
        <w:keepNext w:val="0"/>
        <w:widowControl/>
        <w:spacing w:before="0" w:after="50" w:line="307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236B5E"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b w:val="0"/>
          <w:color w:val="263238"/>
          <w:sz w:val="24"/>
          <w:szCs w:val="24"/>
        </w:rPr>
        <w:t>专家尚未形成一致意见的内容，标记为“待确认”，不进入第一阶段正式结果。</w:t>
      </w:r>
    </w:p>
    <w:p w14:paraId="789BF754">
      <w:pPr>
        <w:keepNext w:val="0"/>
        <w:widowControl/>
        <w:spacing w:before="0" w:after="50" w:line="307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236B5E"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b w:val="0"/>
          <w:color w:val="263238"/>
          <w:sz w:val="24"/>
          <w:szCs w:val="24"/>
        </w:rPr>
        <w:t>规则一经签署生效，应记录来源、版本和生效日期；后续修改必须提升版本号并重新签署。</w:t>
      </w:r>
    </w:p>
    <w:p w14:paraId="25CF0337">
      <w:pPr>
        <w:keepNext/>
        <w:widowControl/>
        <w:spacing w:before="80" w:after="8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5.2 依据层级最终确认</w:t>
      </w:r>
    </w:p>
    <w:p w14:paraId="4BCF0223">
      <w:pPr>
        <w:keepNext w:val="0"/>
        <w:widowControl/>
        <w:spacing w:before="0" w:after="100" w:line="324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同意采用上述五级</w:t>
      </w:r>
      <w:bookmarkStart w:id="0" w:name="_GoBack"/>
      <w:bookmarkEnd w:id="0"/>
      <w:r>
        <w:rPr>
          <w:rFonts w:hint="eastAsia"/>
        </w:rPr>
        <w:t>依据顺序</w:t>
      </w:r>
      <w:r>
        <w:t>；如需调整，可在下方补充具体修改意见：</w:t>
      </w:r>
    </w:p>
    <w:p w14:paraId="0FDC1CD5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t>补充说明：</w:t>
      </w:r>
      <w:r>
        <w:rPr>
          <w:rFonts w:hint="eastAsia" w:eastAsia="宋体"/>
          <w:lang w:val="en-US" w:eastAsia="zh-CN"/>
        </w:rPr>
        <w:t>1.</w:t>
      </w:r>
      <w:r>
        <w:t>第一阶段涉及页面表述、患者可见范围、医疗安全边界时，以本院中医科专家集体共识作为直接落地依据。</w:t>
      </w:r>
    </w:p>
    <w:p w14:paraId="678A0332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2.</w:t>
      </w:r>
      <w:r>
        <w:t>开源程序、社区文章、个人计算器仅用于交叉核对，不得单独成为正式规则来源。</w:t>
      </w:r>
    </w:p>
    <w:p w14:paraId="7FD6E2CB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3.</w:t>
      </w:r>
      <w:r>
        <w:t>经典原文与现代教材存在表述差异时，建议先由中医科形成书面口径，再由信息科按统一口径实施。</w:t>
      </w:r>
    </w:p>
    <w:p w14:paraId="69A15DDF">
      <w:pPr>
        <w:keepNext w:val="0"/>
        <w:widowControl/>
        <w:spacing w:before="0" w:after="40" w:line="264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4.</w:t>
      </w:r>
      <w:r>
        <w:t>后续如新增正式依据，建议在规则版本更新时一并登记书名、版本、适用规则和生效日期。</w:t>
      </w:r>
    </w:p>
    <w:p w14:paraId="794BCB4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80" w:line="276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154E45"/>
          <w:sz w:val="24"/>
          <w:szCs w:val="24"/>
        </w:rPr>
        <w:t>5.3 首批需登记的依据资料</w:t>
      </w:r>
      <w:r>
        <w:rPr>
          <w:rFonts w:hint="eastAsia" w:ascii="宋体" w:hAnsi="宋体" w:eastAsia="宋体" w:cs="宋体"/>
          <w:b/>
          <w:color w:val="154E45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color w:val="154E45"/>
          <w:sz w:val="24"/>
          <w:szCs w:val="24"/>
          <w:lang w:val="en-US" w:eastAsia="zh-CN"/>
        </w:rPr>
        <w:t>可选</w:t>
      </w:r>
      <w:r>
        <w:rPr>
          <w:rFonts w:hint="eastAsia" w:ascii="宋体" w:hAnsi="宋体" w:eastAsia="宋体" w:cs="宋体"/>
          <w:b/>
          <w:color w:val="154E45"/>
          <w:sz w:val="24"/>
          <w:szCs w:val="24"/>
          <w:lang w:eastAsia="zh-CN"/>
        </w:rPr>
        <w:t>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56FF3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9F344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序号</w:t>
            </w:r>
          </w:p>
        </w:tc>
        <w:tc>
          <w:tcPr>
            <w:tcW w:w="249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4C9C7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书名/篇名</w:t>
            </w:r>
          </w:p>
        </w:tc>
        <w:tc>
          <w:tcPr>
            <w:tcW w:w="187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23B1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版本/出版社</w:t>
            </w:r>
          </w:p>
        </w:tc>
        <w:tc>
          <w:tcPr>
            <w:tcW w:w="238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ECDCD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对应规则</w:t>
            </w:r>
          </w:p>
        </w:tc>
        <w:tc>
          <w:tcPr>
            <w:tcW w:w="215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236B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7C1C8">
            <w:pPr>
              <w:keepNext w:val="0"/>
              <w:spacing w:before="0" w:after="0" w:line="283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专家备注</w:t>
            </w:r>
          </w:p>
        </w:tc>
      </w:tr>
      <w:tr w14:paraId="5319B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26298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1</w:t>
            </w:r>
          </w:p>
          <w:p w14:paraId="08B3745C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AC60">
            <w:r>
              <w:t>《黄帝内经素问·天元纪大论》</w:t>
            </w:r>
          </w:p>
        </w:tc>
        <w:tc>
          <w:tcPr>
            <w:tcW w:w="187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DC46D">
            <w:r>
              <w:t>经典原文；具体整理本待本院统一</w:t>
            </w:r>
          </w:p>
        </w:tc>
        <w:tc>
          <w:tcPr>
            <w:tcW w:w="238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B6571">
            <w:r>
              <w:t>R-09、R-14～R-20</w:t>
            </w:r>
          </w:p>
        </w:tc>
        <w:tc>
          <w:tcPr>
            <w:tcW w:w="215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D9513">
            <w:r>
              <w:t>用于五运六气基础概念与框架</w:t>
            </w:r>
          </w:p>
        </w:tc>
      </w:tr>
      <w:tr w14:paraId="5410F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FB4B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2</w:t>
            </w:r>
          </w:p>
          <w:p w14:paraId="6938A061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9CA97">
            <w:r>
              <w:t>《黄帝内经素问·五运行大论》</w:t>
            </w:r>
          </w:p>
        </w:tc>
        <w:tc>
          <w:tcPr>
            <w:tcW w:w="187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5BC3">
            <w:r>
              <w:t>经典原文；具体整理本待本院统一</w:t>
            </w:r>
          </w:p>
        </w:tc>
        <w:tc>
          <w:tcPr>
            <w:tcW w:w="238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26DB4">
            <w:r>
              <w:t>R-09～R-13、C-05</w:t>
            </w:r>
          </w:p>
        </w:tc>
        <w:tc>
          <w:tcPr>
            <w:tcW w:w="215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31D05">
            <w:r>
              <w:t>用于岁运、太过不及与气至先后</w:t>
            </w:r>
          </w:p>
        </w:tc>
      </w:tr>
      <w:tr w14:paraId="7E586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B6C96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3</w:t>
            </w:r>
          </w:p>
          <w:p w14:paraId="7E8239A8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C9558">
            <w:r>
              <w:t>《黄帝内经素问·六微旨大论》《六元正纪大论》</w:t>
            </w:r>
          </w:p>
        </w:tc>
        <w:tc>
          <w:tcPr>
            <w:tcW w:w="187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D2D89">
            <w:r>
              <w:t>经典原文；具体整理本待本院统一</w:t>
            </w:r>
          </w:p>
        </w:tc>
        <w:tc>
          <w:tcPr>
            <w:tcW w:w="238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D3FD4">
            <w:r>
              <w:t>R-15～R-23</w:t>
            </w:r>
          </w:p>
        </w:tc>
        <w:tc>
          <w:tcPr>
            <w:tcW w:w="215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0EAF1">
            <w:r>
              <w:t>用于司天在泉、六步和客主加临</w:t>
            </w:r>
          </w:p>
        </w:tc>
      </w:tr>
      <w:tr w14:paraId="212F0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3F74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4</w:t>
            </w:r>
          </w:p>
          <w:p w14:paraId="61C371A6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AA06">
            <w:r>
              <w:t>《黄帝内经素问运气七篇讲解》</w:t>
            </w:r>
          </w:p>
        </w:tc>
        <w:tc>
          <w:tcPr>
            <w:tcW w:w="187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D9F8D">
            <w:r>
              <w:t>方药中、许家松著；人民卫生出版社</w:t>
            </w:r>
          </w:p>
        </w:tc>
        <w:tc>
          <w:tcPr>
            <w:tcW w:w="238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88B6B">
            <w:r>
              <w:t>R-02～R-35、C-01～C-09</w:t>
            </w:r>
          </w:p>
        </w:tc>
        <w:tc>
          <w:tcPr>
            <w:tcW w:w="215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shd w:val="clear" w:color="auto" w:fill="F4F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00761">
            <w:r>
              <w:t>用于第一阶段可计算口径整理与现代说明</w:t>
            </w:r>
          </w:p>
        </w:tc>
      </w:tr>
      <w:tr w14:paraId="10EAE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0F8A8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63238"/>
                <w:sz w:val="24"/>
                <w:szCs w:val="24"/>
              </w:rPr>
              <w:t>5</w:t>
            </w:r>
          </w:p>
          <w:p w14:paraId="194D97D2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1456E">
            <w:r>
              <w:t>《五运六气问卷2026.6.30》及本确认单签署版</w:t>
            </w:r>
          </w:p>
        </w:tc>
        <w:tc>
          <w:tcPr>
            <w:tcW w:w="187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0BFE1">
            <w:r>
              <w:t>院内项目资料</w:t>
            </w:r>
          </w:p>
        </w:tc>
        <w:tc>
          <w:tcPr>
            <w:tcW w:w="2381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DFE2A">
            <w:r>
              <w:t>全部第一阶段规则</w:t>
            </w:r>
          </w:p>
        </w:tc>
        <w:tc>
          <w:tcPr>
            <w:tcW w:w="2154" w:type="dxa"/>
            <w:tcBorders>
              <w:top w:val="single" w:color="B7C8C4" w:sz="4" w:space="0"/>
              <w:left w:val="single" w:color="B7C8C4" w:sz="4" w:space="0"/>
              <w:bottom w:val="single" w:color="B7C8C4" w:sz="4" w:space="0"/>
              <w:right w:val="single" w:color="B7C8C4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3A80A">
            <w:r>
              <w:t>用于本院共识落地、版本追踪与后续复核</w:t>
            </w:r>
          </w:p>
        </w:tc>
      </w:tr>
    </w:tbl>
    <w:p w14:paraId="5D8E9D52">
      <w:pPr>
        <w:widowControl/>
        <w:rPr>
          <w:rFonts w:hint="eastAsia" w:ascii="宋体" w:hAnsi="宋体" w:eastAsia="宋体" w:cs="宋体"/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1247" w:right="1276" w:bottom="1134" w:left="1276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ed Mono Light">
    <w:altName w:val="RomanS"/>
    <w:panose1 w:val="02000409030000000004"/>
    <w:charset w:val="00"/>
    <w:family w:val="auto"/>
    <w:pitch w:val="default"/>
    <w:sig w:usb0="00000000" w:usb1="00000000" w:usb2="02040020" w:usb3="00000000" w:csb0="2000011F" w:csb1="C4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61171">
    <w:pPr>
      <w:pStyle w:val="24"/>
      <w:jc w:val="right"/>
    </w:pPr>
    <w:r>
      <w:rPr>
        <w:rFonts w:ascii="Noto Sans CJK SC" w:hAnsi="Noto Sans CJK SC" w:eastAsia="Noto Sans CJK SC"/>
        <w:b w:val="0"/>
        <w:color w:val="5F6B6D"/>
        <w:sz w:val="18"/>
      </w:rPr>
      <w:t xml:space="preserve">第 </w:t>
    </w:r>
    <w:r>
      <w:rPr>
        <w:rFonts w:ascii="Noto Sans CJK SC" w:hAnsi="Noto Sans CJK SC" w:eastAsia="Noto Sans CJK SC"/>
        <w:b w:val="0"/>
        <w:color w:val="5F6B6D"/>
        <w:sz w:val="18"/>
      </w:rPr>
      <w:fldChar w:fldCharType="begin"/>
    </w:r>
    <w:r>
      <w:rPr>
        <w:rFonts w:ascii="Noto Sans CJK SC" w:hAnsi="Noto Sans CJK SC" w:eastAsia="Noto Sans CJK SC"/>
        <w:b w:val="0"/>
        <w:color w:val="5F6B6D"/>
        <w:sz w:val="18"/>
      </w:rPr>
      <w:instrText xml:space="preserve">PAGE</w:instrText>
    </w:r>
    <w:r>
      <w:rPr>
        <w:rFonts w:ascii="Noto Sans CJK SC" w:hAnsi="Noto Sans CJK SC" w:eastAsia="Noto Sans CJK SC"/>
        <w:b w:val="0"/>
        <w:color w:val="5F6B6D"/>
        <w:sz w:val="18"/>
      </w:rPr>
      <w:fldChar w:fldCharType="end"/>
    </w:r>
    <w:r>
      <w:rPr>
        <w:rFonts w:ascii="Noto Sans CJK SC" w:hAnsi="Noto Sans CJK SC" w:eastAsia="Noto Sans CJK SC"/>
        <w:b w:val="0"/>
        <w:color w:val="5F6B6D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9FA94">
    <w:pPr>
      <w:pStyle w:val="25"/>
      <w:jc w:val="right"/>
    </w:pPr>
    <w:r>
      <w:rPr>
        <w:rFonts w:ascii="Noto Sans CJK SC" w:hAnsi="Noto Sans CJK SC" w:eastAsia="Noto Sans CJK SC"/>
        <w:b w:val="0"/>
        <w:color w:val="5F6B6D"/>
        <w:sz w:val="18"/>
      </w:rPr>
      <w:t>中医五运六气第一阶段规则共识确认单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F184A"/>
    <w:rsid w:val="367139AA"/>
    <w:rsid w:val="406E1539"/>
    <w:rsid w:val="6BE20050"/>
    <w:rsid w:val="789A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24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2785</Words>
  <Characters>2969</Characters>
  <Lines>0</Lines>
  <Paragraphs>0</Paragraphs>
  <TotalTime>2</TotalTime>
  <ScaleCrop>false</ScaleCrop>
  <LinksUpToDate>false</LinksUpToDate>
  <CharactersWithSpaces>2997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信息管理相关部门（依据中医科专家答卷整理）</dc:creator>
  <dc:description>依据中医科专家填写的《五运六气问卷2026.6.30》整理。</dc:description>
  <cp:keywords>五运六气,规则共识,中医科,专家确认,第一阶段</cp:keywords>
  <cp:lastModifiedBy>lzhyz68</cp:lastModifiedBy>
  <dcterms:modified xsi:type="dcterms:W3CDTF">2026-07-07T08:56:29Z</dcterms:modified>
  <dc:subject>第一阶段规则冻结与专家签署</dc:subject>
  <dc:title>中医五运六气第一阶段规则共识确认单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eyJoZGlkIjoiOGZlOTcyZmViMDkwZGZlMWU5MmRhZGE4MmQ2ZGU3MjYiLCJ1c2VySWQiOiIxNTIwMzQ5NTU3In0=</vt:lpwstr>
  </property>
  <property fmtid="{D5CDD505-2E9C-101B-9397-08002B2CF9AE}" pid="3" name="KSOProductBuildVer">
    <vt:lpwstr>2052-12.1.0.26884</vt:lpwstr>
  </property>
  <property fmtid="{D5CDD505-2E9C-101B-9397-08002B2CF9AE}" pid="4" name="ICV">
    <vt:lpwstr>6A7842EA677745DDB08566822C049A99_12</vt:lpwstr>
  </property>
</Properties>
</file>