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E0C" w:rsidRDefault="00190E0C" w:rsidP="00933BD2">
      <w:pPr>
        <w:shd w:val="clear" w:color="auto" w:fill="FFFFFF"/>
        <w:spacing w:after="0" w:line="360" w:lineRule="atLeast"/>
        <w:jc w:val="center"/>
        <w:rPr>
          <w:rFonts w:ascii="Calibri" w:eastAsia="Times New Roman" w:hAnsi="Calibri" w:cs="Times New Roman"/>
          <w:b/>
          <w:bCs/>
          <w:color w:val="000000"/>
          <w:sz w:val="24"/>
          <w:szCs w:val="24"/>
          <w:lang w:eastAsia="es-AR"/>
        </w:rPr>
      </w:pPr>
    </w:p>
    <w:p w:rsidR="00B63681" w:rsidRPr="00477449" w:rsidRDefault="00B63681" w:rsidP="00B63681">
      <w:pPr>
        <w:pStyle w:val="xmsonormal"/>
        <w:shd w:val="clear" w:color="auto" w:fill="FFFFFF"/>
        <w:spacing w:before="0" w:beforeAutospacing="0" w:after="0" w:afterAutospacing="0" w:line="360" w:lineRule="auto"/>
        <w:jc w:val="center"/>
        <w:rPr>
          <w:b/>
          <w:bCs/>
          <w:color w:val="000000"/>
        </w:rPr>
      </w:pPr>
      <w:r w:rsidRPr="00477449">
        <w:rPr>
          <w:b/>
          <w:bCs/>
          <w:color w:val="000000"/>
        </w:rPr>
        <w:t>XXXI CONGRESO ALAS - URUGUAY 2017</w:t>
      </w:r>
    </w:p>
    <w:p w:rsidR="00B63681" w:rsidRPr="00477449" w:rsidRDefault="00B63681" w:rsidP="00262E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s-AR"/>
        </w:rPr>
      </w:pPr>
      <w:r w:rsidRPr="00477449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s-AR"/>
        </w:rPr>
        <w:t xml:space="preserve">“Las encrucijadas abiertas de América Latina. </w:t>
      </w:r>
    </w:p>
    <w:p w:rsidR="00B63681" w:rsidRPr="00477449" w:rsidRDefault="00B63681" w:rsidP="00262E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s-AR"/>
        </w:rPr>
      </w:pPr>
      <w:r w:rsidRPr="00477449">
        <w:rPr>
          <w:rFonts w:ascii="Times New Roman" w:eastAsia="Times New Roman" w:hAnsi="Times New Roman" w:cs="Times New Roman"/>
          <w:b/>
          <w:bCs/>
          <w:i/>
          <w:color w:val="000000"/>
          <w:sz w:val="24"/>
          <w:szCs w:val="24"/>
          <w:lang w:eastAsia="es-AR"/>
        </w:rPr>
        <w:t>La sociología en tiempos de cambios”</w:t>
      </w:r>
    </w:p>
    <w:p w:rsidR="00B63681" w:rsidRPr="00477449" w:rsidRDefault="00B63681" w:rsidP="00262E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Montevideo, 3 al 8 de diciembre</w:t>
      </w:r>
    </w:p>
    <w:p w:rsidR="00262E0C" w:rsidRPr="00477449" w:rsidRDefault="00262E0C" w:rsidP="00262E0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</w:p>
    <w:p w:rsidR="00982DF7" w:rsidRPr="00477449" w:rsidRDefault="00F303C0" w:rsidP="00982DF7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POLÍTICA PÚBLICAS Y </w:t>
      </w:r>
      <w:r w:rsidR="00B63681"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COMEDORES ESCOLARES EN ARGENTINA.</w:t>
      </w:r>
    </w:p>
    <w:p w:rsidR="00B63681" w:rsidRPr="00477449" w:rsidRDefault="00B63681" w:rsidP="00982DF7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</w:pPr>
      <w:r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MODELO DE GESTIÓN MIXTA EN UN PARTIDO DEL SUDESTE BONAERENSE</w:t>
      </w:r>
    </w:p>
    <w:p w:rsidR="00933BD2" w:rsidRPr="00477449" w:rsidRDefault="00933BD2" w:rsidP="00982DF7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</w:p>
    <w:p w:rsidR="00901B9D" w:rsidRPr="0098650F" w:rsidRDefault="00933BD2" w:rsidP="00933BD2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Autor</w:t>
      </w:r>
      <w:r w:rsidR="00190E0C"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a</w:t>
      </w:r>
      <w:r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:   </w:t>
      </w:r>
      <w:r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BORRÁS, Graciela</w:t>
      </w:r>
      <w:r w:rsidR="00982DF7"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. </w:t>
      </w:r>
      <w:r w:rsidR="00901B9D"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Unidad integrada Balcarce (INTA FCA/</w:t>
      </w:r>
      <w:proofErr w:type="spellStart"/>
      <w:r w:rsidR="00901B9D"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UNMdP</w:t>
      </w:r>
      <w:proofErr w:type="spellEnd"/>
      <w:r w:rsidR="00901B9D"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).</w:t>
      </w:r>
    </w:p>
    <w:p w:rsidR="00901B9D" w:rsidRPr="0098650F" w:rsidRDefault="00901B9D" w:rsidP="00982DF7">
      <w:pPr>
        <w:shd w:val="clear" w:color="auto" w:fill="FFFFFF"/>
        <w:spacing w:after="0" w:line="360" w:lineRule="atLeast"/>
        <w:ind w:left="708" w:firstLine="708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  <w:r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 xml:space="preserve"> </w:t>
      </w:r>
      <w:r w:rsidR="00982DF7"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E</w:t>
      </w:r>
      <w:r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-mail: borras.graciel</w:t>
      </w:r>
      <w:r w:rsid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a</w:t>
      </w:r>
      <w:r w:rsidRP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@inta.gob</w:t>
      </w:r>
      <w:r w:rsidR="0098650F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  <w:t>.ar</w:t>
      </w:r>
    </w:p>
    <w:p w:rsidR="007C5C1A" w:rsidRPr="0098650F" w:rsidRDefault="007C5C1A" w:rsidP="00933BD2">
      <w:pPr>
        <w:shd w:val="clear" w:color="auto" w:fill="FFFFFF"/>
        <w:spacing w:after="0" w:line="360" w:lineRule="atLeast"/>
        <w:jc w:val="center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es-AR"/>
        </w:rPr>
      </w:pPr>
    </w:p>
    <w:p w:rsidR="007C5C1A" w:rsidRPr="00477449" w:rsidRDefault="00B63681" w:rsidP="007C5C1A">
      <w:pPr>
        <w:shd w:val="clear" w:color="auto" w:fill="FFFFFF"/>
        <w:spacing w:after="0" w:line="360" w:lineRule="atLeast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>GT</w:t>
      </w:r>
      <w:r w:rsidR="00190E0C"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8.</w:t>
      </w:r>
      <w:r w:rsidR="007C5C1A" w:rsidRPr="00477449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AR"/>
        </w:rPr>
        <w:t xml:space="preserve"> Desigualdad, pobreza y exclusión social</w:t>
      </w:r>
    </w:p>
    <w:p w:rsidR="00933BD2" w:rsidRPr="00477449" w:rsidRDefault="00933BD2" w:rsidP="007C5C1A">
      <w:pPr>
        <w:shd w:val="clear" w:color="auto" w:fill="FFFFFF"/>
        <w:spacing w:after="0" w:line="360" w:lineRule="atLeast"/>
        <w:ind w:left="709"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477449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 </w:t>
      </w:r>
    </w:p>
    <w:p w:rsidR="00B63681" w:rsidRPr="00A85D59" w:rsidRDefault="00933BD2" w:rsidP="008447AD">
      <w:pPr>
        <w:ind w:right="-1"/>
        <w:jc w:val="both"/>
        <w:rPr>
          <w:rFonts w:eastAsia="Times New Roman" w:cs="Times New Roman"/>
          <w:b/>
          <w:bCs/>
          <w:color w:val="000000"/>
          <w:sz w:val="24"/>
          <w:szCs w:val="24"/>
          <w:lang w:eastAsia="es-AR"/>
        </w:rPr>
      </w:pPr>
      <w:r w:rsidRPr="00933BD2">
        <w:rPr>
          <w:rFonts w:eastAsia="Times New Roman" w:cs="Times New Roman"/>
          <w:b/>
          <w:bCs/>
          <w:color w:val="000000"/>
          <w:sz w:val="24"/>
          <w:szCs w:val="24"/>
          <w:lang w:eastAsia="es-AR"/>
        </w:rPr>
        <w:t>Resumen</w:t>
      </w:r>
      <w:r w:rsidR="00B63681" w:rsidRPr="00A85D59">
        <w:rPr>
          <w:rFonts w:eastAsia="Times New Roman" w:cs="Times New Roman"/>
          <w:b/>
          <w:bCs/>
          <w:color w:val="000000"/>
          <w:sz w:val="24"/>
          <w:szCs w:val="24"/>
          <w:lang w:eastAsia="es-AR"/>
        </w:rPr>
        <w:t>:</w:t>
      </w:r>
    </w:p>
    <w:p w:rsidR="00650EB9" w:rsidRPr="0098650F" w:rsidRDefault="00D66956" w:rsidP="00A85D5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98650F">
        <w:rPr>
          <w:rFonts w:ascii="Times New Roman" w:eastAsia="Times New Roman" w:hAnsi="Times New Roman" w:cs="Times New Roman"/>
          <w:sz w:val="24"/>
          <w:szCs w:val="24"/>
          <w:lang w:eastAsia="es-ES"/>
        </w:rPr>
        <w:t>Los problemas alimentarios no solo se relacionan con la producción de alimentos y la expansión de determinado modelo agrícola, sino también con el funcionamiento de toda la economía y el accionar de las instituciones políticas y sociales que pueden influir de manera directa o indirecta en la capacidad o incapacidad de los individuos para adquirir alimentos y acceder a una alimentación saludable. En el caso de la Argentina, uno de principales factores de riego  para la salud, es la alimentación inadecuada.</w:t>
      </w:r>
      <w:r w:rsidR="00B333F1" w:rsidRPr="009865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r w:rsidR="00B333F1" w:rsidRPr="0098650F">
        <w:rPr>
          <w:rFonts w:ascii="Times New Roman" w:hAnsi="Times New Roman" w:cs="Times New Roman"/>
          <w:sz w:val="24"/>
          <w:szCs w:val="24"/>
        </w:rPr>
        <w:t xml:space="preserve">Nuestras sociedades se encuentran crecientemente en un  “entorno </w:t>
      </w:r>
      <w:proofErr w:type="spellStart"/>
      <w:r w:rsidR="00B333F1" w:rsidRPr="0098650F">
        <w:rPr>
          <w:rFonts w:ascii="Times New Roman" w:hAnsi="Times New Roman" w:cs="Times New Roman"/>
          <w:sz w:val="24"/>
          <w:szCs w:val="24"/>
        </w:rPr>
        <w:t>obeso</w:t>
      </w:r>
      <w:r w:rsidR="00E03258" w:rsidRPr="0098650F">
        <w:rPr>
          <w:rFonts w:ascii="Times New Roman" w:hAnsi="Times New Roman" w:cs="Times New Roman"/>
          <w:sz w:val="24"/>
          <w:szCs w:val="24"/>
        </w:rPr>
        <w:t>g</w:t>
      </w:r>
      <w:r w:rsidR="00B333F1" w:rsidRPr="0098650F">
        <w:rPr>
          <w:rFonts w:ascii="Times New Roman" w:hAnsi="Times New Roman" w:cs="Times New Roman"/>
          <w:sz w:val="24"/>
          <w:szCs w:val="24"/>
        </w:rPr>
        <w:t>énico</w:t>
      </w:r>
      <w:proofErr w:type="spellEnd"/>
      <w:r w:rsidR="00B333F1" w:rsidRPr="0098650F">
        <w:rPr>
          <w:rFonts w:ascii="Times New Roman" w:hAnsi="Times New Roman" w:cs="Times New Roman"/>
          <w:sz w:val="24"/>
          <w:szCs w:val="24"/>
        </w:rPr>
        <w:t xml:space="preserve">”, epidemia que </w:t>
      </w:r>
      <w:r w:rsidR="00B333F1" w:rsidRPr="0098650F">
        <w:rPr>
          <w:rFonts w:ascii="Times New Roman" w:hAnsi="Times New Roman" w:cs="Times New Roman"/>
          <w:color w:val="231F20"/>
          <w:sz w:val="24"/>
          <w:szCs w:val="24"/>
          <w:lang w:eastAsia="es-AR"/>
        </w:rPr>
        <w:t xml:space="preserve">obedece principalmente a </w:t>
      </w:r>
      <w:r w:rsidR="00B333F1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>factores socio</w:t>
      </w:r>
      <w:r w:rsidR="00B333F1" w:rsidRPr="0098650F">
        <w:rPr>
          <w:rFonts w:ascii="Cambria Math" w:eastAsia="MyriadPro-Regular" w:hAnsi="Cambria Math" w:cs="Cambria Math"/>
          <w:color w:val="231F20"/>
          <w:sz w:val="24"/>
          <w:szCs w:val="24"/>
          <w:lang w:eastAsia="es-AR"/>
        </w:rPr>
        <w:t>‐</w:t>
      </w:r>
      <w:r w:rsidR="00B333F1" w:rsidRPr="0098650F">
        <w:rPr>
          <w:rFonts w:ascii="Times New Roman" w:eastAsia="MyriadPro-Regular" w:hAnsi="Times New Roman" w:cs="Times New Roman"/>
          <w:color w:val="231F20"/>
          <w:sz w:val="24"/>
          <w:szCs w:val="24"/>
          <w:lang w:eastAsia="es-AR"/>
        </w:rPr>
        <w:t xml:space="preserve">económicos, </w:t>
      </w:r>
      <w:r w:rsidR="00C7481F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>ambientales y culturales</w:t>
      </w:r>
      <w:r w:rsidR="00E03258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y</w:t>
      </w:r>
      <w:r w:rsidR="00413F1C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a los</w:t>
      </w:r>
      <w:r w:rsidR="00B333F1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nuevos estilos de vida</w:t>
      </w:r>
      <w:r w:rsidR="00C7481F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de la población. Tal </w:t>
      </w:r>
      <w:r w:rsidR="00477F1C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>problemática</w:t>
      </w:r>
      <w:r w:rsidR="00413F1C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alimentaria,</w:t>
      </w:r>
      <w:r w:rsidR="00477F1C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</w:t>
      </w:r>
      <w:r w:rsidR="00F303C0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>que</w:t>
      </w:r>
      <w:r w:rsidR="00477F1C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m</w:t>
      </w:r>
      <w:r w:rsidR="00FF3FCF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>arcan</w:t>
      </w:r>
      <w:r w:rsidR="00477F1C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de manera creciente las estadísticas,</w:t>
      </w:r>
      <w:r w:rsidR="00F303C0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 </w:t>
      </w:r>
      <w:r w:rsidR="00C7481F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>impacta no solo en los sectores vulnerables, s</w:t>
      </w:r>
      <w:r w:rsidR="00477F1C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 xml:space="preserve">ino que atraviesa a </w:t>
      </w:r>
      <w:r w:rsidR="00FF3FCF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>todo el tejido social</w:t>
      </w:r>
      <w:r w:rsidR="00B333F1" w:rsidRPr="0098650F">
        <w:rPr>
          <w:rFonts w:ascii="Times New Roman" w:hAnsi="Times New Roman" w:cs="Times New Roman"/>
          <w:bCs/>
          <w:color w:val="231F20"/>
          <w:sz w:val="24"/>
          <w:szCs w:val="24"/>
          <w:lang w:eastAsia="es-AR"/>
        </w:rPr>
        <w:t>.</w:t>
      </w:r>
    </w:p>
    <w:p w:rsidR="00F303C0" w:rsidRPr="0098650F" w:rsidRDefault="00650EB9" w:rsidP="00F303C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8650F">
        <w:rPr>
          <w:rFonts w:ascii="Times New Roman" w:hAnsi="Times New Roman" w:cs="Times New Roman"/>
          <w:sz w:val="24"/>
          <w:szCs w:val="24"/>
        </w:rPr>
        <w:t>El inicio de la asistencia alimentaria en la Argentina se desarrolla principalmente en el ámbito educativo</w:t>
      </w:r>
      <w:r w:rsidR="00477F1C" w:rsidRPr="0098650F">
        <w:rPr>
          <w:rFonts w:ascii="Times New Roman" w:hAnsi="Times New Roman" w:cs="Times New Roman"/>
          <w:sz w:val="24"/>
          <w:szCs w:val="24"/>
        </w:rPr>
        <w:t xml:space="preserve"> orientado a grupos de riesgo</w:t>
      </w:r>
      <w:r w:rsidRPr="0098650F">
        <w:rPr>
          <w:rFonts w:ascii="Times New Roman" w:hAnsi="Times New Roman" w:cs="Times New Roman"/>
          <w:sz w:val="24"/>
          <w:szCs w:val="24"/>
        </w:rPr>
        <w:t xml:space="preserve"> y se remonta a la implementación de l</w:t>
      </w:r>
      <w:r w:rsidR="00E03258" w:rsidRPr="0098650F">
        <w:rPr>
          <w:rFonts w:ascii="Times New Roman" w:hAnsi="Times New Roman" w:cs="Times New Roman"/>
          <w:sz w:val="24"/>
          <w:szCs w:val="24"/>
        </w:rPr>
        <w:t xml:space="preserve">os primeros comedores escolares </w:t>
      </w:r>
      <w:r w:rsidRPr="0098650F">
        <w:rPr>
          <w:rFonts w:ascii="Times New Roman" w:hAnsi="Times New Roman" w:cs="Times New Roman"/>
          <w:sz w:val="24"/>
          <w:szCs w:val="24"/>
        </w:rPr>
        <w:t xml:space="preserve">a principios del siglo XX, lo que muestra una creciente preocupación por la salud integral de los niños.  </w:t>
      </w:r>
      <w:r w:rsidR="00F303C0" w:rsidRPr="0098650F">
        <w:rPr>
          <w:rFonts w:ascii="Times New Roman" w:hAnsi="Times New Roman" w:cs="Times New Roman"/>
          <w:sz w:val="24"/>
          <w:szCs w:val="24"/>
        </w:rPr>
        <w:t>Actualmente l</w:t>
      </w:r>
      <w:r w:rsidR="00B333F1" w:rsidRPr="0098650F">
        <w:rPr>
          <w:rFonts w:ascii="Times New Roman" w:hAnsi="Times New Roman" w:cs="Times New Roman"/>
          <w:sz w:val="24"/>
          <w:szCs w:val="24"/>
        </w:rPr>
        <w:t>a gestión de los servicios alimentarios escolares está s</w:t>
      </w:r>
      <w:r w:rsidR="0098650F" w:rsidRPr="0098650F">
        <w:rPr>
          <w:rFonts w:ascii="Times New Roman" w:hAnsi="Times New Roman" w:cs="Times New Roman"/>
          <w:sz w:val="24"/>
          <w:szCs w:val="24"/>
        </w:rPr>
        <w:t xml:space="preserve">ignada por una gran </w:t>
      </w:r>
      <w:r w:rsidR="00B333F1" w:rsidRPr="0098650F">
        <w:rPr>
          <w:rFonts w:ascii="Times New Roman" w:hAnsi="Times New Roman" w:cs="Times New Roman"/>
          <w:sz w:val="24"/>
          <w:szCs w:val="24"/>
        </w:rPr>
        <w:t>variedad de modelos organizativos</w:t>
      </w:r>
      <w:r w:rsidR="00B333F1" w:rsidRPr="0098650F">
        <w:rPr>
          <w:rFonts w:ascii="Times New Roman" w:hAnsi="Times New Roman" w:cs="Times New Roman"/>
          <w:sz w:val="24"/>
          <w:szCs w:val="24"/>
        </w:rPr>
        <w:t xml:space="preserve"> y </w:t>
      </w:r>
      <w:r w:rsidR="0098650F">
        <w:rPr>
          <w:rFonts w:ascii="Times New Roman" w:hAnsi="Times New Roman" w:cs="Times New Roman"/>
          <w:sz w:val="24"/>
          <w:szCs w:val="24"/>
        </w:rPr>
        <w:t xml:space="preserve">existen </w:t>
      </w:r>
      <w:r w:rsidR="00B333F1" w:rsidRPr="0098650F">
        <w:rPr>
          <w:rFonts w:ascii="Times New Roman" w:hAnsi="Times New Roman" w:cs="Times New Roman"/>
          <w:sz w:val="24"/>
          <w:szCs w:val="24"/>
        </w:rPr>
        <w:t xml:space="preserve">disparidades provinciales, siendo </w:t>
      </w:r>
      <w:r w:rsidR="00477F1C" w:rsidRPr="0098650F">
        <w:rPr>
          <w:rFonts w:ascii="Times New Roman" w:hAnsi="Times New Roman" w:cs="Times New Roman"/>
          <w:sz w:val="24"/>
          <w:szCs w:val="24"/>
        </w:rPr>
        <w:t xml:space="preserve">la falta de recursos </w:t>
      </w:r>
      <w:r w:rsidR="00B333F1" w:rsidRPr="0098650F">
        <w:rPr>
          <w:rFonts w:ascii="Times New Roman" w:hAnsi="Times New Roman" w:cs="Times New Roman"/>
          <w:sz w:val="24"/>
          <w:szCs w:val="24"/>
        </w:rPr>
        <w:t xml:space="preserve">uno de </w:t>
      </w:r>
      <w:r w:rsidR="00B333F1" w:rsidRPr="0098650F">
        <w:rPr>
          <w:rFonts w:ascii="Times New Roman" w:hAnsi="Times New Roman" w:cs="Times New Roman"/>
          <w:sz w:val="24"/>
          <w:szCs w:val="24"/>
        </w:rPr>
        <w:t>los problemas más recurrentes.</w:t>
      </w:r>
    </w:p>
    <w:p w:rsidR="0098650F" w:rsidRPr="0098650F" w:rsidRDefault="00E03258" w:rsidP="0098650F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</w:pP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lastRenderedPageBreak/>
        <w:t xml:space="preserve">El </w:t>
      </w:r>
      <w:r w:rsidR="00D6695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modelo de gestión mixto</w:t>
      </w:r>
      <w:r w:rsidR="00147AE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de comedores escolares</w:t>
      </w: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que se presenta, es </w:t>
      </w:r>
      <w:r w:rsidR="00262E0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262E0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implementado en un municipio del sudeste de la provincia de Buenos Aires</w:t>
      </w: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</w:t>
      </w:r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consiste en</w:t>
      </w: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</w:t>
      </w:r>
      <w:r w:rsidR="00262E0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cocina </w:t>
      </w: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y compras </w:t>
      </w:r>
      <w:r w:rsidR="00147AE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centralizada</w:t>
      </w: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</w:t>
      </w:r>
      <w:r w:rsidR="004C4B71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 envío</w:t>
      </w:r>
      <w:r w:rsidR="00262E0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 las escuelas de la comida ya preparada, </w:t>
      </w:r>
      <w:r w:rsidR="00147AE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combinada con</w:t>
      </w:r>
      <w:r w:rsidR="00262E0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4C4B71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 modalidad de </w:t>
      </w:r>
      <w:r w:rsidR="00262E0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cocinas descentralizadas</w:t>
      </w:r>
      <w:r w:rsidR="004C4B71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ubicadas</w:t>
      </w:r>
      <w:r w:rsidR="00262E0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algunas escuelas</w:t>
      </w: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</w:t>
      </w:r>
      <w:r w:rsidR="00262E0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que reciben solo los insumos y elaboran los alimentos en el lugar</w:t>
      </w:r>
      <w:r w:rsidR="004C4B71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</w:p>
    <w:p w:rsidR="00413F1C" w:rsidRPr="0098650F" w:rsidRDefault="00E03258" w:rsidP="0098650F">
      <w:pPr>
        <w:spacing w:after="0" w:line="360" w:lineRule="auto"/>
        <w:jc w:val="both"/>
        <w:rPr>
          <w:rFonts w:ascii="Times New Roman" w:eastAsia="MS Mincho" w:hAnsi="Times New Roman" w:cs="Times New Roman"/>
          <w:sz w:val="24"/>
          <w:szCs w:val="24"/>
          <w:lang w:eastAsia="es-ES"/>
        </w:rPr>
      </w:pP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El</w:t>
      </w:r>
      <w:r w:rsidR="004C4B71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objetivo</w:t>
      </w: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es</w:t>
      </w:r>
      <w:r w:rsidR="004C4B71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A56B42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analizar</w:t>
      </w:r>
      <w:r w:rsidR="00EE2FBA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:</w:t>
      </w:r>
      <w:r w:rsidR="00A56B42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EE2FBA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1) </w:t>
      </w:r>
      <w:r w:rsidR="004C4B71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</w:t>
      </w:r>
      <w:r w:rsidR="00EE2FBA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os aspectos positivos y negativos de</w:t>
      </w:r>
      <w:r w:rsidR="004C4B71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la implementación de este modelo de gestión mixto y 2) las </w:t>
      </w:r>
      <w:r w:rsidR="00EE2FBA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prácticas y</w:t>
      </w:r>
      <w:r w:rsidR="00D6695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representaciones </w:t>
      </w:r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</w:t>
      </w:r>
      <w:r w:rsidR="00147AE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e poseen </w:t>
      </w:r>
      <w:r w:rsidR="00D6695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acerca del comedor escolar</w:t>
      </w:r>
      <w:r w:rsid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</w:t>
      </w:r>
      <w:r w:rsidR="00D6695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los representantes del consejo escolar, los directivos de escuelas, los docentes y las cocineras</w:t>
      </w:r>
      <w:r w:rsidR="00A56B42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.</w:t>
      </w:r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Para ello se realizaron entrevistas </w:t>
      </w:r>
      <w:proofErr w:type="spellStart"/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semi</w:t>
      </w:r>
      <w:proofErr w:type="spellEnd"/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-estru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cturadas a </w:t>
      </w:r>
      <w:r w:rsidR="00EE2FBA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los </w:t>
      </w:r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diferentes actores institucionales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involucrados</w:t>
      </w:r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. </w:t>
      </w:r>
      <w:r w:rsidR="00477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Algunos de</w:t>
      </w:r>
      <w:r w:rsidR="002A2BEF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477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los resultados muestran </w:t>
      </w:r>
      <w:r w:rsidR="009147E5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que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la</w:t>
      </w:r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combinación de </w:t>
      </w:r>
      <w:r w:rsid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descentralización de las 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cocinas y 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la 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centra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lización de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las c</w:t>
      </w:r>
      <w:r w:rsidR="00F303C0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ompras</w:t>
      </w:r>
      <w:r w:rsid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junto al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reparto de alimentos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parece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n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mejorar la fórmula del modelo de gestión predominante.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A141FE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Sin embargo 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se observa </w:t>
      </w:r>
      <w:r w:rsidR="00EE2FBA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que 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l</w:t>
      </w:r>
      <w:r w:rsidR="00D6695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a 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cuestión</w:t>
      </w:r>
      <w:r w:rsidR="00D6695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alimentaria, no está suficientemente visualizada, dado que siguen primando concepciones fragmentadas de la realidad, c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entradas fundamentalmente en</w:t>
      </w:r>
      <w:r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los recursos 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y</w:t>
      </w:r>
      <w:r w:rsidR="00EE2FBA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en lo “nutricional”, </w:t>
      </w:r>
      <w:r w:rsidR="00413F1C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 xml:space="preserve"> </w:t>
      </w:r>
      <w:r w:rsidR="00D6695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focalizadas en los sectores con alta vulnerabilidad social. En consecuencia las desigualdades sociales se reproducen  en el orden de lo alimentario, como en el caso de la mayo</w:t>
      </w:r>
      <w:r w:rsidR="009147E5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ría de los comedores escolares</w:t>
      </w:r>
      <w:r w:rsidR="00D66956" w:rsidRPr="0098650F">
        <w:rPr>
          <w:rFonts w:ascii="Times New Roman" w:eastAsia="Times New Roman" w:hAnsi="Times New Roman" w:cs="Times New Roman"/>
          <w:color w:val="000000"/>
          <w:sz w:val="24"/>
          <w:szCs w:val="24"/>
          <w:lang w:eastAsia="es-AR"/>
        </w:rPr>
        <w:t>, sin que muchos de los involucrados, tanto los actores institucionales como la sociedad, lo adviertan.</w:t>
      </w:r>
      <w:r w:rsidR="00413F1C" w:rsidRPr="0098650F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</w:p>
    <w:p w:rsidR="00D66956" w:rsidRPr="00933BD2" w:rsidRDefault="00D66956" w:rsidP="0098650F">
      <w:pPr>
        <w:shd w:val="clear" w:color="auto" w:fill="FFFFFF"/>
        <w:spacing w:after="0" w:line="360" w:lineRule="auto"/>
        <w:ind w:right="567"/>
        <w:jc w:val="both"/>
        <w:rPr>
          <w:rFonts w:eastAsia="Times New Roman" w:cs="Times New Roman"/>
          <w:color w:val="000000"/>
          <w:sz w:val="24"/>
          <w:szCs w:val="24"/>
          <w:lang w:eastAsia="es-AR"/>
        </w:rPr>
      </w:pPr>
      <w:r w:rsidRPr="00933BD2">
        <w:rPr>
          <w:rFonts w:eastAsia="Times New Roman" w:cs="Times New Roman"/>
          <w:b/>
          <w:bCs/>
          <w:color w:val="000000"/>
          <w:sz w:val="24"/>
          <w:szCs w:val="24"/>
          <w:lang w:eastAsia="es-AR"/>
        </w:rPr>
        <w:t>Palabras Clave:</w:t>
      </w:r>
      <w:bookmarkStart w:id="0" w:name="_GoBack"/>
      <w:bookmarkEnd w:id="0"/>
      <w:r w:rsidRPr="00933BD2">
        <w:rPr>
          <w:rFonts w:eastAsia="Times New Roman" w:cs="Times New Roman"/>
          <w:color w:val="000000"/>
          <w:sz w:val="24"/>
          <w:szCs w:val="24"/>
          <w:lang w:eastAsia="es-AR"/>
        </w:rPr>
        <w:t xml:space="preserve"> Programas Alimentarios – Comedores </w:t>
      </w:r>
      <w:r w:rsidR="00A85D59">
        <w:rPr>
          <w:rFonts w:eastAsia="Times New Roman" w:cs="Times New Roman"/>
          <w:color w:val="000000"/>
          <w:sz w:val="24"/>
          <w:szCs w:val="24"/>
          <w:lang w:eastAsia="es-AR"/>
        </w:rPr>
        <w:t xml:space="preserve">Escolares – Modelos de Gestión </w:t>
      </w:r>
    </w:p>
    <w:p w:rsidR="00D66956" w:rsidRPr="00A85D59" w:rsidRDefault="00D66956" w:rsidP="00D66956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eastAsia="es-ES"/>
        </w:rPr>
      </w:pPr>
    </w:p>
    <w:p w:rsidR="00D66956" w:rsidRPr="00A85D59" w:rsidRDefault="00D66956" w:rsidP="00D66956">
      <w:pPr>
        <w:spacing w:after="0" w:line="360" w:lineRule="auto"/>
        <w:jc w:val="both"/>
        <w:rPr>
          <w:rFonts w:eastAsia="Times New Roman" w:cs="Times New Roman"/>
          <w:sz w:val="24"/>
          <w:szCs w:val="24"/>
          <w:lang w:val="es-ES" w:eastAsia="es-ES"/>
        </w:rPr>
      </w:pPr>
    </w:p>
    <w:p w:rsidR="00C8357E" w:rsidRPr="00A85D59" w:rsidRDefault="00C8357E" w:rsidP="00933BD2"/>
    <w:sectPr w:rsidR="00C8357E" w:rsidRPr="00A85D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yriadPro-Regular">
    <w:altName w:val="MS P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BD2"/>
    <w:rsid w:val="000516F6"/>
    <w:rsid w:val="00147AE6"/>
    <w:rsid w:val="00190E0C"/>
    <w:rsid w:val="001E731B"/>
    <w:rsid w:val="00262E0C"/>
    <w:rsid w:val="002A2BEF"/>
    <w:rsid w:val="002E2525"/>
    <w:rsid w:val="003A3A7D"/>
    <w:rsid w:val="00413F1C"/>
    <w:rsid w:val="00477449"/>
    <w:rsid w:val="00477F1C"/>
    <w:rsid w:val="00491AA5"/>
    <w:rsid w:val="004C4B71"/>
    <w:rsid w:val="005A6C90"/>
    <w:rsid w:val="00611ACF"/>
    <w:rsid w:val="00650EB9"/>
    <w:rsid w:val="00670C97"/>
    <w:rsid w:val="006D0921"/>
    <w:rsid w:val="00775776"/>
    <w:rsid w:val="007C5C1A"/>
    <w:rsid w:val="007E24BA"/>
    <w:rsid w:val="008447AD"/>
    <w:rsid w:val="00901B9D"/>
    <w:rsid w:val="009147E5"/>
    <w:rsid w:val="00933BD2"/>
    <w:rsid w:val="00982DF7"/>
    <w:rsid w:val="0098650F"/>
    <w:rsid w:val="009F14C9"/>
    <w:rsid w:val="00A141FE"/>
    <w:rsid w:val="00A56B42"/>
    <w:rsid w:val="00A85D59"/>
    <w:rsid w:val="00AA2340"/>
    <w:rsid w:val="00AC6C15"/>
    <w:rsid w:val="00B333F1"/>
    <w:rsid w:val="00B63681"/>
    <w:rsid w:val="00BB5D9C"/>
    <w:rsid w:val="00BD797B"/>
    <w:rsid w:val="00C7481F"/>
    <w:rsid w:val="00C8357E"/>
    <w:rsid w:val="00D66956"/>
    <w:rsid w:val="00DC5EBE"/>
    <w:rsid w:val="00E03258"/>
    <w:rsid w:val="00EE2FBA"/>
    <w:rsid w:val="00F303C0"/>
    <w:rsid w:val="00FF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6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B636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619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11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538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Graciela Borrás</dc:creator>
  <cp:lastModifiedBy>Graciela Borrás</cp:lastModifiedBy>
  <cp:revision>2</cp:revision>
  <dcterms:created xsi:type="dcterms:W3CDTF">2016-12-20T00:18:00Z</dcterms:created>
  <dcterms:modified xsi:type="dcterms:W3CDTF">2016-12-20T00:18:00Z</dcterms:modified>
</cp:coreProperties>
</file>