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8BD97"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礼来客户会会议纪要</w:t>
      </w:r>
    </w:p>
    <w:p w14:paraId="4CFD5E6F"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Cleaning, PW Hoses, Weld &amp; Passivation, Glycol and Filter Integrity – 10/09/2026</w:t>
      </w:r>
    </w:p>
    <w:p w14:paraId="66486AEB">
      <w:pPr>
        <w:keepNext/>
        <w:pBdr>
          <w:bottom w:val="single" w:color="C9A227" w:sz="12" w:space="2"/>
        </w:pBdr>
        <w:spacing w:before="240" w:after="120"/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 w14:paraId="74C9CD9D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礼来此前发来 SPPS pre-PPQ 和纯化演示批的卡点清单，本次按清单讨论了清洁、纯化水、焊缝与钝化、乙二醇和过滤器完整性。礼来认为这些都是各自开工的“限速”项。</w:t>
      </w:r>
    </w:p>
    <w:p w14:paraId="1515DA8B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乙二醇：我方确认 GG917 设备在验证时用过乙二醇，GG917 使用前会对各设备做 TOC 和 L2 检测后再放行。Mark追问 Step 1 设备在已完成的演示批之前是否做过 TOC；我方会上承诺按同样格式整理已完成批次的设备表。礼来还问到设备放行前的微生物（TAMC / TYMC）和内毒素检测。</w:t>
      </w:r>
    </w:p>
    <w:p w14:paraId="446090E8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纯化水软管：我方提出三步走（Approach 1 现有软管 → 2 硅胶软管加 T 型阀 → 3 固定不锈钢硬管）。Andrew 接受 Approach 1 按补充确认处理（3 天后放行、继续取样 1–2 周），建议看 Approach 1 数据后跳过 Approach 2、直接上 Approach 3；三种方案均合规。Andrew 另请我方回复邮件中“其他礼来项目纯化水回路是否有同类问题”。</w:t>
      </w:r>
    </w:p>
    <w:p w14:paraId="78773B46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管路改造：焊缝检查、钝化、材质核对、坡度与排空，SPPS 10/14 完成，GG917 全部工序 10/15 完成；会上展示了焊缝验收标准和钝化后放行步骤。礼来总体认可，追问 TOC 放行限度、水冲洗后是否用溶剂置换，以及过滤器前管路的铁溶出是否全覆盖。</w:t>
      </w:r>
    </w:p>
    <w:p w14:paraId="158D01F0">
      <w:pPr>
        <w:pStyle w:val="23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过滤器完整性：我方建议不做使用前测试（依靠供应商 COA、安装双人复核、使用后测试）。Andrew 基本接受，但提出前提：新装滤芯使用前甲醇冲洗至废液；评估串联冗余滤芯或一体式（capsule）过滤器；一个滤芯对应一个 API 批，使用后测试通过才开始沉淀。</w:t>
      </w:r>
    </w:p>
    <w:p w14:paraId="38688CCD">
      <w:pPr>
        <w:keepNext/>
        <w:pBdr>
          <w:bottom w:val="single" w:color="C9A227" w:sz="12" w:space="2"/>
        </w:pBdr>
        <w:spacing w:before="240" w:after="120"/>
      </w:pPr>
      <w:r>
        <w:rPr>
          <w:rFonts w:hint="eastAsia" w:ascii="Arial" w:hAnsi="Arial" w:eastAsia="微软雅黑"/>
          <w:b/>
          <w:i w:val="0"/>
          <w:color w:val="1B4F72"/>
          <w:sz w:val="28"/>
          <w:lang w:val="en-US" w:eastAsia="zh-CN"/>
        </w:rPr>
        <w:t>二</w:t>
      </w:r>
      <w:r>
        <w:rPr>
          <w:rFonts w:ascii="Arial" w:hAnsi="Arial" w:eastAsia="微软雅黑"/>
          <w:b/>
          <w:i w:val="0"/>
          <w:color w:val="1B4F72"/>
          <w:sz w:val="28"/>
        </w:rPr>
        <w:t>、分议题纪要</w:t>
      </w:r>
    </w:p>
    <w:p w14:paraId="4BCDF50C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SPPS 清洁 SOP 与清洁记录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277"/>
      </w:tblGrid>
      <w:tr w14:paraId="09A3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0A62447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44D64BC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25960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02CB47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AFBE22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还没看我方新上传的 SPPS 设备清洁 SOP 和清洁记录；此前审阅过 SPPS 清洁验证文件的部分章节。</w:t>
            </w:r>
          </w:p>
          <w:p w14:paraId="10DA47C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 xml:space="preserve"> 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Step 1 清洁验证方案（CVP）在礼来做最终确认，预计下周完成，大部分早期意见已纳入；我方昨天发的设备清洁正在礼来审阅。</w:t>
            </w:r>
          </w:p>
          <w:p w14:paraId="648391D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会上看了我方共享屏幕后，礼来表示会线下审阅。</w:t>
            </w:r>
          </w:p>
        </w:tc>
      </w:tr>
      <w:tr w14:paraId="0191D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02E099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48E1DE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礼来线下审阅 SPPS 清洁 SOP 和记录；我方据意见修改后再发；下游文件参考礼来对 SPPS 的既有意见。</w:t>
            </w:r>
          </w:p>
        </w:tc>
      </w:tr>
    </w:tbl>
    <w:p w14:paraId="39629781">
      <w:pPr>
        <w:spacing w:after="40"/>
      </w:pPr>
    </w:p>
    <w:p w14:paraId="08A2A54D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纯化水软管方案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277"/>
      </w:tblGrid>
      <w:tr w14:paraId="6BBF8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5164AD3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79050F6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49A13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87136A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C2E4D8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Andrew：Approach 1 的缓解措施写“连续 3 天确认”，是否符合我方纯化水验证程序？他原本预期约两周取样。</w:t>
            </w:r>
          </w:p>
          <w:p w14:paraId="2039C0F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听完解释后接受：Approach 1 属于对已有验证的补充，而非新验证。</w:t>
            </w:r>
          </w:p>
          <w:p w14:paraId="4CB5BC7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2 有必要吗？能否延长 Approach 1、之后直接上 Approach 3？这个话题本来就敏感，希望尽量减少中间过渡。</w:t>
            </w:r>
          </w:p>
          <w:p w14:paraId="445DD0D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1 补充确认后，常规监测取样点是否移到最差软管末端？</w:t>
            </w:r>
          </w:p>
          <w:p w14:paraId="38CB0BC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 之前邮件末尾的问题：这个问题是否只涉及 GG917？支持其他礼来项目的纯化水回路设计是否没问题，还是可能存在系统性问题、需要另行讨论？请我方回复。</w:t>
            </w:r>
          </w:p>
          <w:p w14:paraId="0D03CEE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3 改造硬管和分配头期间，是否会把它们与所供储罐断开并盲封，确保 Approach 3 放行前无法使用？</w:t>
            </w:r>
          </w:p>
        </w:tc>
      </w:tr>
      <w:tr w14:paraId="13560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5D736C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4D139B5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三种方案：Approach 1 继续使用分配点和使用点之间的现有软管；Approach 2 改用硅胶软管加 T 型阀；Approach 3 在分配点和使用点之间安装固定不锈钢硬管。表格列出各方案的潜在风险、缓解措施、缓解后风险和完成日期。</w:t>
            </w:r>
          </w:p>
          <w:p w14:paraId="02C0DE1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1 缓解措施：在多根软管连接后的末端最差点做确认；完善程序，规定每次使用后排空、冲洗、清洁和干燥（推断），使用前碱液淌洗、纯化水冲洗并检查 pH。</w:t>
            </w:r>
          </w:p>
          <w:p w14:paraId="528CC75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按时间线分阶段实施：演示批、pre-PPQ 批和商业化批随关键性提高而升级，商业化批最终使用 Approach 3。</w:t>
            </w:r>
          </w:p>
          <w:p w14:paraId="57D3A89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补充确认说明：初始验证的第一、二阶段各两周、第三阶段一年都已完成，软管本身已验证；本次只在最差末端取样，3 天后可放行用于生产，之后继续取样至一周或两周。会考虑礼来的建议。</w:t>
            </w:r>
          </w:p>
          <w:p w14:paraId="10195AE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同意根据 Approach 1 确认阶段的数据，若结果良好可跳过 Approach 2，直接转 Approach 3。</w:t>
            </w:r>
          </w:p>
          <w:p w14:paraId="38B7964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三种方案都符合 GMP；Approach 3 风险最低，长期采用。</w:t>
            </w:r>
          </w:p>
          <w:p w14:paraId="0DE77AF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常规监测点会移到最差软管末端。</w:t>
            </w:r>
          </w:p>
          <w:p w14:paraId="2D2561C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3 改造期间现有连接会停用；改造完成并放行前不使用。</w:t>
            </w:r>
          </w:p>
        </w:tc>
      </w:tr>
      <w:tr w14:paraId="0A234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DA1584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47C489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按补充确认执行（3 天放行，继续取样 1–2 周），常规监测点移到最差末端；视 Approach 1 数据决定是否跳过 Approach 2；长期 Approach 3。我方回复 Andrew 关于其他项目纯化水回路的邮件问题。</w:t>
            </w:r>
          </w:p>
        </w:tc>
      </w:tr>
    </w:tbl>
    <w:p w14:paraId="0FA0A684">
      <w:pPr>
        <w:spacing w:after="40"/>
      </w:pPr>
    </w:p>
    <w:p w14:paraId="67EB9734">
      <w:pPr>
        <w:spacing w:after="40"/>
      </w:pPr>
    </w:p>
    <w:p w14:paraId="3785DB6E">
      <w:pPr>
        <w:spacing w:after="40"/>
      </w:pPr>
    </w:p>
    <w:p w14:paraId="1B8DDC54">
      <w:pPr>
        <w:spacing w:after="40"/>
      </w:pPr>
    </w:p>
    <w:p w14:paraId="77C52736">
      <w:pPr>
        <w:spacing w:after="40"/>
      </w:pPr>
    </w:p>
    <w:p w14:paraId="5B71EEC1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管路改造进度：焊缝、钝化、材质、坡度与排空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277"/>
      </w:tblGrid>
      <w:tr w14:paraId="70764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215BE37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2D11E0F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66842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5210DC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BB6E95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Andrew：总体没问题。钝化后用纯化水冲洗并取样测 TOC 和铁，放行用的 TOC 限度是多少？可会后邮件告知。</w:t>
            </w:r>
          </w:p>
          <w:p w14:paraId="1BDE017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水冲洗取样后，是否再用溶剂置换残留的水？</w:t>
            </w:r>
          </w:p>
          <w:p w14:paraId="11B6722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所说“整个系统用水冲洗”应不包括从储罐出来的大宗溶剂管路，而钝化的很多关注点恰在这些管路上；我方有储罐的铁监测，希望过滤器前后的研究合起来覆盖整个系统的铁溶出，没有遗漏。</w:t>
            </w:r>
          </w:p>
          <w:p w14:paraId="41EAC8B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 xml:space="preserve">• 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 xml:space="preserve"> 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钝化后水冲洗、再溶剂清洗之后，是否做水分检测，确认水已除尽？</w:t>
            </w:r>
          </w:p>
        </w:tc>
      </w:tr>
      <w:tr w14:paraId="01460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C30E55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16A5BD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展示各工序管路改进状态总表，涵盖焊缝检查、钝化、材质（MOC）核对、坡度与排空。</w:t>
            </w:r>
          </w:p>
          <w:p w14:paraId="71A9113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：材质核对、焊缝检查、坡度与排空仍在进行；主设备和工艺管路已钝化，过滤器后的溶剂管路钝化仍在进行。部分溶剂管路不满足坡度和排空要求，但始终充满不促微生物生长的溶剂，评估为低风险，不需要纠正措施。</w:t>
            </w:r>
          </w:p>
          <w:p w14:paraId="0E71F1F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完成日期：SPPS 10/14；GG917 全部工序 10/15。</w:t>
            </w:r>
          </w:p>
          <w:p w14:paraId="273DC22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焊缝验收标准：全焊透；打磨后不得有气孔、凹坑、裂纹；内外成型均匀，焊缝与母材过渡自然、平滑；不得有咬边、毛刺、残渣、焊缝边缘变形、氧化变色等缺陷。</w:t>
            </w:r>
          </w:p>
          <w:p w14:paraId="34CB2DA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钝化后：做 pH 和电导率测试；整条设备链用纯化水冲洗，取样测 TOC 和铁（转写为 POC / IR）。</w:t>
            </w:r>
          </w:p>
          <w:p w14:paraId="2E5F736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TOC 限度按纯化水本身的 TOC 标准执行（具体数值会上未说）。</w:t>
            </w:r>
          </w:p>
          <w:p w14:paraId="17B213C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表格只覆盖过滤器之后的管路。过滤器前：逐一检查储罐分配头并形成检查清单，再筛查各焊接位置，判断整条溶剂输送管路是否需要额外钝化；保障一是储罐溶剂的铁例行监测，保障二是这些管路与已完成批次所用管路相同。</w:t>
            </w:r>
          </w:p>
          <w:p w14:paraId="6415E2E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钝化后冲洗完成，会用溶剂淌洗并干燥后再使用，否则残留水会影响反应；对水分检测的提问答复为“是”。</w:t>
            </w:r>
          </w:p>
        </w:tc>
      </w:tr>
      <w:tr w14:paraId="035AC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422492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461901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礼来认可总体安排；我方邮件告知 TOC 放行限度；钝化后溶剂置换、干燥后使用；过滤器前管路以储罐铁监测和既往批次使用情况作为保障。</w:t>
            </w:r>
          </w:p>
        </w:tc>
      </w:tr>
    </w:tbl>
    <w:p w14:paraId="2C6B7739">
      <w:pPr>
        <w:spacing w:after="40"/>
      </w:pPr>
    </w:p>
    <w:p w14:paraId="7DF9E7C2">
      <w:pPr>
        <w:spacing w:after="40"/>
      </w:pPr>
    </w:p>
    <w:p w14:paraId="1163BEAB">
      <w:pPr>
        <w:spacing w:after="40"/>
      </w:pPr>
    </w:p>
    <w:p w14:paraId="65C91CD3">
      <w:pPr>
        <w:spacing w:after="40"/>
      </w:pPr>
    </w:p>
    <w:p w14:paraId="56E9E7D3">
      <w:pPr>
        <w:spacing w:after="40"/>
      </w:pPr>
    </w:p>
    <w:p w14:paraId="159DD03A">
      <w:pPr>
        <w:spacing w:after="40"/>
      </w:pPr>
    </w:p>
    <w:p w14:paraId="0A7725FE">
      <w:pPr>
        <w:spacing w:after="40"/>
      </w:pPr>
    </w:p>
    <w:p w14:paraId="45152399">
      <w:pPr>
        <w:spacing w:after="40"/>
      </w:pPr>
    </w:p>
    <w:p w14:paraId="74FD9510">
      <w:pPr>
        <w:spacing w:after="40"/>
      </w:pPr>
    </w:p>
    <w:p w14:paraId="5B1AC137">
      <w:pPr>
        <w:spacing w:after="40"/>
      </w:pPr>
    </w:p>
    <w:p w14:paraId="61ED2D2A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乙二醇使用与去除时间线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277"/>
      </w:tblGrid>
      <w:tr w14:paraId="6198D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6178D32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308F0DE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2FB35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AB28AD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776C89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设备验证时用了不同浓度的乙二醇，表中是之后记录的清洁时间，接下来都要做 TOC 检测，对吗？</w:t>
            </w:r>
          </w:p>
          <w:p w14:paraId="160F4B2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Step 1 设备在已执行的演示批之前做过乙二醇的 TOC 检测吗？可能有的做过、有的没做。不用现在回答，回去查清楚，“对另一项调查有用”。完全赞成在设备再次使用前做额外检测，确认没有乙二醇。</w:t>
            </w:r>
          </w:p>
          <w:p w14:paraId="593CCE1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控制措施只写了 TOC 和 L2。L2 是什么，如何检测？设备放行前是否做 TAMC、TYMC 和内毒素检测，确认没有微生物生长和内毒素残留？</w:t>
            </w:r>
          </w:p>
          <w:p w14:paraId="07924F7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微生物检测结果是否在 pre-PPQ 或演示批开始前用于设备放行？TOC、微生物等各项可接受范围是否写入清洁文件？</w:t>
            </w:r>
          </w:p>
        </w:tc>
      </w:tr>
      <w:tr w14:paraId="49B86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4A9C06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81D3E5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展示设备表：按工序列出全部设备，标明是 GG917 新设备还是曾用于其他项目、PQ 阶段何时用过乙二醇、乙二醇浓度、最近一次清洁时间；控制措施为 L2 和 TOC，并列出完成日期。</w:t>
            </w:r>
          </w:p>
          <w:p w14:paraId="0F462C9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设备验证中确实用过乙二醇；GG917 使用前先做 TOC 检测，合格后才放行。</w:t>
            </w:r>
          </w:p>
          <w:p w14:paraId="15BD963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已完成批次：大多数设备验证后是新设备，清洁后直接用于礼来产品，只有一台设备验证后先用于其他产品；会按本表格式整理已完成批次的设备情况后提供。</w:t>
            </w:r>
          </w:p>
          <w:p w14:paraId="059366C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设备用乙二醇验证后，已用纯化水清洁再放行；本次另加 TOC 检测。</w:t>
            </w:r>
          </w:p>
          <w:p w14:paraId="5DD55DB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L2 指对前一产品的定量检测，由 QC 执行。</w:t>
            </w:r>
          </w:p>
          <w:p w14:paraId="7BBC465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微生物检测按清洁验证方案执行，从纯化步骤开始做设备微生物检测，前段步骤风险不高。</w:t>
            </w:r>
          </w:p>
          <w:p w14:paraId="6CE9496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各项检测的可接受范围会写入清洁文件。</w:t>
            </w:r>
          </w:p>
        </w:tc>
      </w:tr>
      <w:tr w14:paraId="30C72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FD60441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627A77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GG917 使用前完成 TOC 和 L2 检测并放行；我方提供已完成批次的设备表，并回答演示批前是否做过 TOC；各项可接受范围写入清洁文件。</w:t>
            </w:r>
          </w:p>
        </w:tc>
      </w:tr>
    </w:tbl>
    <w:p w14:paraId="1FC18E5E">
      <w:pPr>
        <w:spacing w:after="40"/>
      </w:pPr>
    </w:p>
    <w:p w14:paraId="2C890227">
      <w:pPr>
        <w:spacing w:after="40"/>
      </w:pPr>
    </w:p>
    <w:p w14:paraId="2A9E59EE">
      <w:pPr>
        <w:spacing w:after="40"/>
      </w:pPr>
    </w:p>
    <w:p w14:paraId="641701FC">
      <w:pPr>
        <w:spacing w:after="40"/>
      </w:pPr>
    </w:p>
    <w:p w14:paraId="41A69656">
      <w:pPr>
        <w:spacing w:after="40"/>
      </w:pPr>
    </w:p>
    <w:p w14:paraId="5C216695">
      <w:pPr>
        <w:spacing w:after="40"/>
      </w:pPr>
    </w:p>
    <w:p w14:paraId="13478CD8">
      <w:pPr>
        <w:spacing w:after="40"/>
      </w:pPr>
    </w:p>
    <w:p w14:paraId="569EB5EF">
      <w:pPr>
        <w:spacing w:after="40"/>
      </w:pPr>
    </w:p>
    <w:p w14:paraId="5185D35F">
      <w:pPr>
        <w:spacing w:after="40"/>
      </w:pPr>
    </w:p>
    <w:p w14:paraId="7972FBD0">
      <w:pPr>
        <w:spacing w:after="40"/>
      </w:pPr>
    </w:p>
    <w:p w14:paraId="3D988FC2">
      <w:pPr>
        <w:spacing w:after="40"/>
      </w:pPr>
    </w:p>
    <w:p w14:paraId="0ABA0C0C">
      <w:pPr>
        <w:spacing w:after="40"/>
      </w:pPr>
    </w:p>
    <w:p w14:paraId="269872F6">
      <w:pPr>
        <w:spacing w:after="40"/>
      </w:pPr>
    </w:p>
    <w:p w14:paraId="7BF25000"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过滤器完整性测试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8277"/>
      </w:tblGrid>
      <w:tr w14:paraId="4D3EA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71D593E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51D2954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 w14:paraId="13B26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72583E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D16349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即使不做使用前测试，新装滤芯也要冲洗：一是让短暂敞口的安装操作在功能上闭合，二是去除新滤芯的可提取物 / 浸出物。做使用前测试时，润湿用的 70% IPA 本身就起到这两个作用；不做的话，是否计划在使用前用甲醇冲洗新装滤芯、直接排废？</w:t>
            </w:r>
          </w:p>
          <w:p w14:paraId="68244F0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 xml:space="preserve"> 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仍有安装错误未被发现、导致使用后测试失败的风险。是团队接受这个风险及其对批放行的影响，还是进一步降低风险？常见做法是串联两个滤芯，只要一个通过使用后测试即可，安装时要两处同时失误才会失败。</w:t>
            </w:r>
          </w:p>
          <w:p w14:paraId="53E8963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也可以事先约定：使用后测试失败时，能否用技术论证避免报废批次。把物料从中间罐倒回截留液罐、换新滤芯重新过滤，按注册文件语言通常会被视为返工，“最好避免”。</w:t>
            </w:r>
          </w:p>
          <w:p w14:paraId="5D22304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我方的困难可以理解：疏水膜涉及 IPA、水和甲醇三组分，无法像亲水膜那样用密度或折光率快速证明去除。这也是礼来更倾向一体式（capsule）过滤器的原因——整体出厂，不需要使用前测试。</w:t>
            </w:r>
          </w:p>
          <w:p w14:paraId="4B8BD4D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使用后测试在拆卸后做，拆卸频次如何？测试失败时会牵连多个批次吗？</w:t>
            </w:r>
          </w:p>
          <w:p w14:paraId="0D39BC8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礼来的历史期望是一个滤芯对应一个 API 批；多个 TFF 子批合成一个 AFD 子批可以接受，但一个 API 批只用一个滤芯。通常的控制是：滤芯位于 TFF 截留液罐和中间罐（产品暂存罐）之间，使用后测试通过后才开始沉淀；一旦开始沉淀形成浆料，就没有补救余地。</w:t>
            </w:r>
          </w:p>
          <w:p w14:paraId="07BBC1B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流程图上 0.22 µm 终端过滤器在加碱和甲醇的成盐罐之后、沉淀罐之前，位置是否有问题？Andrew：几周前已发现并更新，过滤器已移到截留液罐和中间罐之间；碱和甲醇加在终端过滤器之后不构成风险，和滤饼洗涤液、反溶剂一样各有自己的过滤控制，且 NaOH / 甲醇不促微生物生长。</w:t>
            </w:r>
          </w:p>
          <w:p w14:paraId="055027C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 会后发送礼来在类似操作环境下用过的一体式过滤器厂家和型号。</w:t>
            </w:r>
          </w:p>
        </w:tc>
      </w:tr>
      <w:tr w14:paraId="14ED0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40BA73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592230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现状：使用前完整性测试由供应商完成（COA），我方不在厂内做；使用后测试在使用结束后做。</w:t>
            </w:r>
          </w:p>
          <w:p w14:paraId="02E0388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使用前测试的难点：会引入 IPA、水等非工艺溶剂，去除不彻底会造成交叉污染。去除方法一是整体干燥，但供应商只干燥滤芯、不含过滤器外壳，整体干燥需要研究，且缺少干燥设备，洁净区改造约需 3 个月；方法二是工艺溶剂置换，需要验证置换效果，并做大量实验建立残留可接受标准，过滤器位置多，工作量很大。</w:t>
            </w:r>
          </w:p>
          <w:p w14:paraId="7FCD277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建议：继续依靠供应商 COA 作为使用前测试依据，安装时第二人复核，使用后做完整性测试。</w:t>
            </w:r>
          </w:p>
          <w:p w14:paraId="76057C1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回应：冗余过滤器可以降低风险；最好或最可行的做法是一体式过滤器加冗余过滤器。</w:t>
            </w:r>
          </w:p>
          <w:p w14:paraId="1CA307E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过滤器拆卸频次因过滤器而异；使用后测试失败时，受影响批次为本次安装至上次完整性测试之间的所有批次，通过风险评估判断。</w:t>
            </w:r>
          </w:p>
          <w:p w14:paraId="6A17F13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同意：只有完整性测试通过后，才进行沉淀操作。</w:t>
            </w:r>
          </w:p>
        </w:tc>
      </w:tr>
      <w:tr w14:paraId="026A6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7B17F1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w="8277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CFDECF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Andrew 总结：① 即使不做使用前测试，也要在使用前用甲醇冲洗新装滤芯至废液；② 我方评估串联第二个滤芯；③ Andrew 发送一体式过滤器参考型号；④ 我方确认终端 0.2 µm 过滤器已移到 TFF 系统和产品暂存罐之间；⑤ 使用后测试通过前不开始沉淀，由此形成一个滤芯对应一个 API 批。</w:t>
            </w:r>
          </w:p>
        </w:tc>
      </w:tr>
    </w:tbl>
    <w:p w14:paraId="4E8EF67B">
      <w:pPr>
        <w:spacing w:after="40"/>
      </w:pPr>
    </w:p>
    <w:p w14:paraId="2C6DE467">
      <w:pPr>
        <w:keepNext/>
        <w:pBdr>
          <w:bottom w:val="single" w:color="C9A227" w:sz="12" w:space="2"/>
        </w:pBdr>
        <w:spacing w:before="240" w:after="120"/>
      </w:pPr>
      <w:r>
        <w:rPr>
          <w:rFonts w:hint="eastAsia" w:ascii="Arial" w:hAnsi="Arial" w:eastAsia="微软雅黑"/>
          <w:b/>
          <w:i w:val="0"/>
          <w:color w:val="1B4F72"/>
          <w:sz w:val="28"/>
          <w:lang w:val="en-US" w:eastAsia="zh-CN"/>
        </w:rPr>
        <w:t>三</w:t>
      </w:r>
      <w:bookmarkStart w:id="0" w:name="_GoBack"/>
      <w:bookmarkEnd w:id="0"/>
      <w:r>
        <w:rPr>
          <w:rFonts w:ascii="Arial" w:hAnsi="Arial" w:eastAsia="微软雅黑"/>
          <w:b/>
          <w:i w:val="0"/>
          <w:color w:val="1B4F72"/>
          <w:sz w:val="28"/>
        </w:rPr>
        <w:t>、后续 Action Items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4989"/>
        <w:gridCol w:w="1134"/>
        <w:gridCol w:w="1814"/>
      </w:tblGrid>
      <w:tr w14:paraId="1E529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47EA572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160FB19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30B6F2E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1B4F72"/>
            <w:vAlign w:val="top"/>
          </w:tcPr>
          <w:p w14:paraId="55F0048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</w:tr>
      <w:tr w14:paraId="0A2C3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AA63E20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D6A9C5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跟进 SPPS Step 1 清洁验证方案和设备清洁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SOP、清洁记录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的礼来最终确认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5448BE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6A90E3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礼来预计下周</w:t>
            </w:r>
          </w:p>
        </w:tc>
      </w:tr>
      <w:tr w14:paraId="715C6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0594789">
            <w:pPr>
              <w:spacing w:before="40" w:after="4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2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12CD86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补充确认方案写明：最差末端取样，3 天无异常放行，之后继续取样 1–2 周；常规监测点移到最差末端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D6FE98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837A81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完成前</w:t>
            </w:r>
          </w:p>
        </w:tc>
      </w:tr>
      <w:tr w14:paraId="1BFAD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C7B3222">
            <w:pPr>
              <w:spacing w:before="40" w:after="40" w:line="288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3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581858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依据 Approach 1 数据决定是否跳过 Approach 2，告知礼来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0EF17D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C67CF1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 w14:paraId="3B9DB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6FD78F0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37921A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 Andrew 邮件末尾问题：该问题是否仅限 GG917，其他礼来项目的纯化水回路是否存在同类问题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843FA0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8F7B94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 w14:paraId="17C1D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38E1D91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DFEF56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3 改造期间将新硬管 / 分配头与储罐断开并盲封，放行前不得使用；更新相关程序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2F4490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9D661E3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3 实施期间</w:t>
            </w:r>
          </w:p>
        </w:tc>
      </w:tr>
      <w:tr w14:paraId="2F78D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31FAC8A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51C7866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 SPPS 焊缝检查、钝化、材质核对、坡度与排空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9ACA5E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95F901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10/14</w:t>
            </w:r>
          </w:p>
        </w:tc>
      </w:tr>
      <w:tr w14:paraId="3043F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5CB2A55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5BEDDE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 GG917 全部工序的上述工作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03A9BD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A7CAA59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10/15</w:t>
            </w:r>
          </w:p>
        </w:tc>
      </w:tr>
      <w:tr w14:paraId="735A1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FF25670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65F308C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邮件告知钝化后放行的 TOC 限度；说明溶剂置换、干燥及水分检测的方法和标准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37C88FE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BFCCC5B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</w:tr>
      <w:tr w14:paraId="7015E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799BA27">
            <w:pPr>
              <w:spacing w:before="40" w:after="40" w:line="288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7A71174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书面说明过滤器前溶剂管路（含储罐）的铁溶出监控覆盖范围，证明全系统无遗漏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D05A3D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6C13DF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 w14:paraId="4A2BE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62D46A5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0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4A193197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回答 Step 1 设备在演示批之前是否做过乙二醇 TOC 检测；按本次表格格式整理已完成批次的设备情况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258400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2E044C6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</w:tr>
      <w:tr w14:paraId="103A8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D625205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1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F8B9C82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GG917 使用前完成各设备 TOC 和 L2 检测并放行；可接受标准写入清洁文件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665BDB05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5040371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按表中各设备计划日期</w:t>
            </w:r>
          </w:p>
        </w:tc>
      </w:tr>
      <w:tr w14:paraId="035A3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3BE7A1B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2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0F87CC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设备放行的微生物（TAMC / TYMC）和内毒素检测：按清洁验证方案从纯化步骤开始，明确在演示批 / pre-PPQ 前完成的范围；可接受标准写入清洁文件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3F48950C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 / 微生物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78B5627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纯化演示批和 pre-PPQ 前</w:t>
            </w:r>
          </w:p>
        </w:tc>
      </w:tr>
      <w:tr w14:paraId="27FD2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9A0C26A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3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19D4053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新装滤芯使用前用甲醇冲洗至废液（功能性闭合和去除可提取物 / 浸出物），写入程序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3AB2754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1A1CF2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 w14:paraId="1FE3D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7C11DB7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4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0032FD9D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评估串联冗余滤芯和一体式过滤器的可行性（防爆 / 防静电、压降等）；收到 Andrew 的型号后比选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176CB6AF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shd w:val="clear" w:color="auto" w:fill="F4F8FB"/>
            <w:vAlign w:val="top"/>
          </w:tcPr>
          <w:p w14:paraId="5B3C62AA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  <w:tr w14:paraId="15B64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2B5A9638">
            <w:pPr>
              <w:spacing w:before="40" w:after="40"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  <w:r>
              <w:rPr>
                <w:rFonts w:hint="eastAsia" w:ascii="Arial" w:hAnsi="Arial" w:eastAsia="微软雅黑"/>
                <w:b w:val="0"/>
                <w:i w:val="0"/>
                <w:color w:val="1C2833"/>
                <w:sz w:val="19"/>
                <w:lang w:val="en-US" w:eastAsia="zh-CN"/>
              </w:rPr>
              <w:t>5</w:t>
            </w:r>
          </w:p>
        </w:tc>
        <w:tc>
          <w:tcPr>
            <w:tcW w:w="4989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3DC9B74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书面确认终端 0.2 µm 过滤器已移到 TFF 系统和产品暂存罐之间；使用后测试通过后才开始沉淀，按一个滤芯对应一个 API 批设计</w:t>
            </w:r>
          </w:p>
        </w:tc>
        <w:tc>
          <w:tcPr>
            <w:tcW w:w="113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4FC49390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w="1814" w:type="dxa"/>
            <w:tcBorders>
              <w:top w:val="single" w:color="D5D8DC" w:sz="4" w:space="0"/>
              <w:left w:val="single" w:color="D5D8DC" w:sz="4" w:space="0"/>
              <w:bottom w:val="single" w:color="D5D8DC" w:sz="4" w:space="0"/>
              <w:right w:val="single" w:color="D5D8DC" w:sz="4" w:space="0"/>
            </w:tcBorders>
            <w:vAlign w:val="top"/>
          </w:tcPr>
          <w:p w14:paraId="0615A4B8"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</w:tr>
    </w:tbl>
    <w:p w14:paraId="0DFB8D36">
      <w:pPr>
        <w:spacing w:after="40"/>
      </w:pPr>
    </w:p>
    <w:sectPr>
      <w:headerReference r:id="rId5" w:type="default"/>
      <w:footerReference r:id="rId6" w:type="default"/>
      <w:pgSz w:w="11906" w:h="16838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F703D">
    <w:pPr>
      <w:pStyle w:val="18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</w:r>
    <w:r>
      <w:rPr>
        <w:rFonts w:ascii="Arial" w:hAnsi="Arial" w:eastAsia="微软雅黑"/>
        <w:b w:val="0"/>
        <w:i w:val="0"/>
        <w:color w:val="5D6D7E"/>
        <w:sz w:val="17"/>
      </w:rPr>
      <w:instrText xml:space="preserve">PAGE</w:instrText>
    </w:r>
    <w:r>
      <w:rPr>
        <w:rFonts w:ascii="Arial" w:hAnsi="Arial" w:eastAsia="微软雅黑"/>
        <w:b w:val="0"/>
        <w:i w:val="0"/>
        <w:color w:val="5D6D7E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D1FD2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32A4A"/>
    <w:rsid w:val="2717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9017</Words>
  <Characters>10520</Characters>
  <Lines>0</Lines>
  <Paragraphs>0</Paragraphs>
  <TotalTime>55</TotalTime>
  <ScaleCrop>false</ScaleCrop>
  <LinksUpToDate>false</LinksUpToDate>
  <CharactersWithSpaces>11192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李涛</cp:lastModifiedBy>
  <dcterms:modified xsi:type="dcterms:W3CDTF">2026-10-09T14:46:15Z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eyJoZGlkIjoiMjhlMGM4Y2VhNmY1NjRmNmY3MzIyNzhjZTY2NDdkMWUiLCJ1c2VySWQiOiIxNjY3MDA0NzUyMTMwIn0=</vt:lpwstr>
  </property>
  <property fmtid="{D5CDD505-2E9C-101B-9397-08002B2CF9AE}" pid="3" name="KSOProductBuildVer">
    <vt:lpwstr>1033-12.1.0.28485</vt:lpwstr>
  </property>
  <property fmtid="{D5CDD505-2E9C-101B-9397-08002B2CF9AE}" pid="4" name="ICV">
    <vt:lpwstr>0243D817B5B04D1B8C1B5A9E2B4D0886_12</vt:lpwstr>
  </property>
</Properties>
</file>