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6"/>
          <w:szCs w:val="36"/>
        </w:rPr>
        <w:t>Executive Summary for Lead Team</w:t>
      </w:r>
      <w:r w:rsidRPr="00CA0045">
        <w:rPr>
          <w:rFonts w:ascii="Segoe UI" w:eastAsia="宋体" w:hAnsi="Segoe UI" w:cs="Segoe UI"/>
          <w:kern w:val="0"/>
          <w:sz w:val="36"/>
          <w:szCs w:val="36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 xml:space="preserve">The meeting focused on a subset of </w:t>
      </w:r>
      <w:r w:rsidRPr="00CA0045">
        <w:rPr>
          <w:rFonts w:ascii="Segoe UI" w:eastAsia="宋体" w:hAnsi="Segoe UI" w:cs="Segoe UI"/>
          <w:b/>
          <w:bCs/>
          <w:kern w:val="0"/>
          <w:szCs w:val="21"/>
        </w:rPr>
        <w:t>high-risk site readiness items that could impact pre-PPQ timelines</w:t>
      </w:r>
      <w:r w:rsidRPr="00CA0045">
        <w:rPr>
          <w:rFonts w:ascii="Segoe UI" w:eastAsia="宋体" w:hAnsi="Segoe UI" w:cs="Segoe UI"/>
          <w:kern w:val="0"/>
          <w:szCs w:val="21"/>
        </w:rPr>
        <w:t xml:space="preserve">, with particular emphasis on cleaning strategy, equipment/piping readiness, solvent header integrity, contamination-control measures, and purified water system risks. Overall, the Lilly team stated that most actions appear to be progressing appropriately, but several items remain potential </w:t>
      </w:r>
      <w:r w:rsidRPr="00CA0045">
        <w:rPr>
          <w:rFonts w:ascii="Segoe UI" w:eastAsia="宋体" w:hAnsi="Segoe UI" w:cs="Segoe UI"/>
          <w:b/>
          <w:bCs/>
          <w:kern w:val="0"/>
          <w:szCs w:val="21"/>
        </w:rPr>
        <w:t>gating activities for pre-PPQ start</w:t>
      </w:r>
      <w:r w:rsidRPr="00CA0045">
        <w:rPr>
          <w:rFonts w:ascii="Segoe UI" w:eastAsia="宋体" w:hAnsi="Segoe UI" w:cs="Segoe UI"/>
          <w:kern w:val="0"/>
          <w:szCs w:val="21"/>
        </w:rPr>
        <w:t xml:space="preserve"> and require additional evidence, documentation, or mitigation plans. Lilly Site Visit Action Tracker Follow Up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40"/>
          <w:szCs w:val="40"/>
        </w:rPr>
        <w:t>1. Cleaning Strategy &amp; Equipment Readiness (SPPS / Cleavage)</w:t>
      </w:r>
      <w:r w:rsidRPr="00CA0045">
        <w:rPr>
          <w:rFonts w:ascii="Segoe UI" w:eastAsia="宋体" w:hAnsi="Segoe UI" w:cs="Segoe UI"/>
          <w:kern w:val="0"/>
          <w:sz w:val="40"/>
          <w:szCs w:val="40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Decision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 xml:space="preserve">The team agreed that the immediate pre-PPQ concern is </w:t>
      </w:r>
      <w:r w:rsidRPr="00CA0045">
        <w:rPr>
          <w:rFonts w:ascii="Segoe UI" w:eastAsia="宋体" w:hAnsi="Segoe UI" w:cs="Segoe UI"/>
          <w:b/>
          <w:bCs/>
          <w:kern w:val="0"/>
          <w:szCs w:val="21"/>
        </w:rPr>
        <w:t>not completion of all future cleaning SOP improvements</w:t>
      </w:r>
      <w:r w:rsidRPr="00CA0045">
        <w:rPr>
          <w:rFonts w:ascii="Segoe UI" w:eastAsia="宋体" w:hAnsi="Segoe UI" w:cs="Segoe UI"/>
          <w:kern w:val="0"/>
          <w:szCs w:val="21"/>
        </w:rPr>
        <w:t>, but rather demonstrating that equipment entering pre-PPQ has been appropriately cleaned and is in a qualified state.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Key Alignment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numPr>
          <w:ilvl w:val="0"/>
          <w:numId w:val="1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Existing cleaning execution records from demo activities need to be reviewed by Lilly. </w:t>
      </w:r>
    </w:p>
    <w:p w:rsidR="00CA0045" w:rsidRPr="00CA0045" w:rsidRDefault="00CA0045" w:rsidP="00CA0045">
      <w:pPr>
        <w:widowControl/>
        <w:numPr>
          <w:ilvl w:val="0"/>
          <w:numId w:val="1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Future enhancements to cleaning SOPs and records can continue in parallel and are not required to be fully finalized prior to pre-PPQ. </w:t>
      </w:r>
    </w:p>
    <w:p w:rsidR="00CA0045" w:rsidRPr="00CA0045" w:rsidRDefault="00CA0045" w:rsidP="00CA0045">
      <w:pPr>
        <w:widowControl/>
        <w:numPr>
          <w:ilvl w:val="0"/>
          <w:numId w:val="1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Confidence in equipment condition entering pre-PPQ is the immediate requirement.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Assigned Actions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4"/>
        <w:gridCol w:w="972"/>
        <w:gridCol w:w="2834"/>
      </w:tblGrid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Action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Owner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Deliverable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Share executed cleaning records and evidence of cleaning performed after demo activities, particularly SPPS equipment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Yan / 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Cleaning records and summary of completed cleaning activities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Provide updated cleaning SOP and cleaning record package for Lilly review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Yan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Revised cleaning documentation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Schedule follow-up discussion after Lilly reviews documentation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+ Lilly SMEs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Risk assessment of equipment readiness </w:t>
            </w:r>
          </w:p>
        </w:tc>
      </w:tr>
    </w:tbl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Risk Assessment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High Risk</w:t>
      </w:r>
      <w:r w:rsidRPr="00CA0045">
        <w:rPr>
          <w:rFonts w:ascii="Segoe UI" w:eastAsia="宋体" w:hAnsi="Segoe UI" w:cs="Segoe UI"/>
          <w:kern w:val="0"/>
          <w:szCs w:val="21"/>
        </w:rPr>
        <w:t xml:space="preserve"> because readiness of SPPS equipment and cleanliness state may affect pre-PPQ authorization.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40"/>
          <w:szCs w:val="40"/>
        </w:rPr>
        <w:lastRenderedPageBreak/>
        <w:t>2. Cleaning Documentation for Hard-to-Clean Components / Piping Gaps</w:t>
      </w:r>
      <w:r w:rsidRPr="00CA0045">
        <w:rPr>
          <w:rFonts w:ascii="Segoe UI" w:eastAsia="宋体" w:hAnsi="Segoe UI" w:cs="Segoe UI"/>
          <w:kern w:val="0"/>
          <w:sz w:val="40"/>
          <w:szCs w:val="40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Decision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The team agreed that any cleaning challenges created by equipment design or piping configuration must be explicitly captured in cleaning documentation.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Key Alignment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Where spray coverage, nozzle geometry, dead legs, or inaccessible surfaces exist: </w:t>
      </w:r>
    </w:p>
    <w:p w:rsidR="00CA0045" w:rsidRPr="00CA0045" w:rsidRDefault="00CA0045" w:rsidP="00CA0045">
      <w:pPr>
        <w:widowControl/>
        <w:numPr>
          <w:ilvl w:val="0"/>
          <w:numId w:val="2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Components must be specifically identified. </w:t>
      </w:r>
    </w:p>
    <w:p w:rsidR="00CA0045" w:rsidRPr="00CA0045" w:rsidRDefault="00CA0045" w:rsidP="00CA0045">
      <w:pPr>
        <w:widowControl/>
        <w:numPr>
          <w:ilvl w:val="0"/>
          <w:numId w:val="2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Cleaning records must demonstrate how effectiveness will be assured. </w:t>
      </w:r>
    </w:p>
    <w:p w:rsidR="00CA0045" w:rsidRPr="00CA0045" w:rsidRDefault="00CA0045" w:rsidP="00CA0045">
      <w:pPr>
        <w:widowControl/>
        <w:numPr>
          <w:ilvl w:val="0"/>
          <w:numId w:val="2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Manual cleaning activities must be traceable.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Assigned Actions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7"/>
        <w:gridCol w:w="1070"/>
        <w:gridCol w:w="2343"/>
      </w:tblGrid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Action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Owner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Deliverable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Update cleaning SOPs and records to identify all critical components requiring special cleaning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Yan / 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Enhanced SOPs and records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Define cleaning approach for components that cannot be adequately cleaned through automated means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Cleaning strategy in controlled documents </w:t>
            </w:r>
          </w:p>
        </w:tc>
      </w:tr>
    </w:tbl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Risk Assessment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Linked directly to acceptance of known equipment design gaps.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40"/>
          <w:szCs w:val="40"/>
        </w:rPr>
        <w:t>3. Line Sloping &amp; Piping Modification Strategy</w:t>
      </w:r>
      <w:r w:rsidRPr="00CA0045">
        <w:rPr>
          <w:rFonts w:ascii="Segoe UI" w:eastAsia="宋体" w:hAnsi="Segoe UI" w:cs="Segoe UI"/>
          <w:kern w:val="0"/>
          <w:sz w:val="40"/>
          <w:szCs w:val="40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Decision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Purification-system sloping concerns must be resolved before purification pre-PPQ activities.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Key Alignment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Discussion clarified that: </w:t>
      </w:r>
    </w:p>
    <w:p w:rsidR="00CA0045" w:rsidRPr="00CA0045" w:rsidRDefault="00CA0045" w:rsidP="00CA0045">
      <w:pPr>
        <w:widowControl/>
        <w:numPr>
          <w:ilvl w:val="0"/>
          <w:numId w:val="3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The original action item was narrowly focused on suspected improper line slopes observed during the site visit. </w:t>
      </w:r>
    </w:p>
    <w:p w:rsidR="00CA0045" w:rsidRPr="00CA0045" w:rsidRDefault="00CA0045" w:rsidP="00CA0045">
      <w:pPr>
        <w:widowControl/>
        <w:numPr>
          <w:ilvl w:val="0"/>
          <w:numId w:val="3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Broader piping modification efforts are occurring simultaneously. </w:t>
      </w:r>
    </w:p>
    <w:p w:rsidR="00CA0045" w:rsidRPr="00CA0045" w:rsidRDefault="00CA0045" w:rsidP="00CA0045">
      <w:pPr>
        <w:widowControl/>
        <w:numPr>
          <w:ilvl w:val="0"/>
          <w:numId w:val="3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Purification piping slope corrections are expected before pre-PPQ. </w:t>
      </w:r>
    </w:p>
    <w:p w:rsidR="00CA0045" w:rsidRPr="00CA0045" w:rsidRDefault="00CA0045" w:rsidP="00CA0045">
      <w:pPr>
        <w:widowControl/>
        <w:numPr>
          <w:ilvl w:val="0"/>
          <w:numId w:val="3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SPPS/Cleavage systems require risk assessment for potential drainage and dead-leg concerns.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lastRenderedPageBreak/>
        <w:t>Assigned Actions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1171"/>
        <w:gridCol w:w="2394"/>
      </w:tblGrid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Action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Owner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Deliverable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Clarify piping modification plan and completion dates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Alex / 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Updated schedule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Share scope of all planned piping modifications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Alex / 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Modification list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Identify which deficiencies will remain at pre-PPQ start and define mitigation strategy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Gap assessment and cleaning controls </w:t>
            </w:r>
          </w:p>
        </w:tc>
      </w:tr>
    </w:tbl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Risk Assessment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Moderate to High Risk</w:t>
      </w:r>
      <w:r w:rsidRPr="00CA0045">
        <w:rPr>
          <w:rFonts w:ascii="Segoe UI" w:eastAsia="宋体" w:hAnsi="Segoe UI" w:cs="Segoe UI"/>
          <w:kern w:val="0"/>
          <w:szCs w:val="21"/>
        </w:rPr>
        <w:t xml:space="preserve"> Particularly if modifications remain incomplete entering pre-PPQ.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Leadership Watch Item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Any unresolved piping deficiencies must become documented accepted risks supported by cleaning controls.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40"/>
          <w:szCs w:val="40"/>
        </w:rPr>
        <w:t>4. Raw Material Staging (CNC Area) / Contamination-Control Risk</w:t>
      </w:r>
      <w:r w:rsidRPr="00CA0045">
        <w:rPr>
          <w:rFonts w:ascii="Segoe UI" w:eastAsia="宋体" w:hAnsi="Segoe UI" w:cs="Segoe UI"/>
          <w:kern w:val="0"/>
          <w:sz w:val="40"/>
          <w:szCs w:val="40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Decision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Long-term facility upgrades may take substantial time, therefore a short-term risk mitigation approach is required before pre-PPQ.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Key Alignment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The currently identified contamination-control concern will likely remain in place through pre-PPQ.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Lilly requested: </w:t>
      </w:r>
    </w:p>
    <w:p w:rsidR="00CA0045" w:rsidRPr="00CA0045" w:rsidRDefault="00CA0045" w:rsidP="00CA0045">
      <w:pPr>
        <w:widowControl/>
        <w:numPr>
          <w:ilvl w:val="0"/>
          <w:numId w:val="4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Administrative controls </w:t>
      </w:r>
    </w:p>
    <w:p w:rsidR="00CA0045" w:rsidRPr="00CA0045" w:rsidRDefault="00CA0045" w:rsidP="00CA0045">
      <w:pPr>
        <w:widowControl/>
        <w:numPr>
          <w:ilvl w:val="0"/>
          <w:numId w:val="4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Procedural controls </w:t>
      </w:r>
    </w:p>
    <w:p w:rsidR="00CA0045" w:rsidRPr="00CA0045" w:rsidRDefault="00CA0045" w:rsidP="00CA0045">
      <w:pPr>
        <w:widowControl/>
        <w:numPr>
          <w:ilvl w:val="0"/>
          <w:numId w:val="4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Operator practices </w:t>
      </w:r>
    </w:p>
    <w:p w:rsidR="00CA0045" w:rsidRPr="00CA0045" w:rsidRDefault="00CA0045" w:rsidP="00CA0045">
      <w:pPr>
        <w:widowControl/>
        <w:numPr>
          <w:ilvl w:val="0"/>
          <w:numId w:val="4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Pest and physical contamination mitigation measures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These controls must supplement the longer-term facility modifications.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Assigned Actions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8"/>
        <w:gridCol w:w="1486"/>
        <w:gridCol w:w="2116"/>
      </w:tblGrid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Action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Owner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Deliverable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Develop short-term contamination-control strategy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Alex / 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Mitigation plan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lastRenderedPageBreak/>
              <w:t>Incorporate risk and controls into CCS documentation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CCS updates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Evaluate procedural controls and operational safeguards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Risk reduction measures </w:t>
            </w:r>
          </w:p>
        </w:tc>
      </w:tr>
    </w:tbl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Risk Assessment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High Risk</w:t>
      </w:r>
      <w:r w:rsidRPr="00CA0045">
        <w:rPr>
          <w:rFonts w:ascii="Segoe UI" w:eastAsia="宋体" w:hAnsi="Segoe UI" w:cs="Segoe UI"/>
          <w:kern w:val="0"/>
          <w:szCs w:val="21"/>
        </w:rPr>
        <w:t xml:space="preserve"> Control strategy must be defined before pre-PPQ operation.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40"/>
          <w:szCs w:val="40"/>
        </w:rPr>
        <w:t>5. Solvent Header Passivation, Weld Quality &amp; Metals Risk</w:t>
      </w:r>
      <w:r w:rsidRPr="00CA0045">
        <w:rPr>
          <w:rFonts w:ascii="Segoe UI" w:eastAsia="宋体" w:hAnsi="Segoe UI" w:cs="Segoe UI"/>
          <w:kern w:val="0"/>
          <w:sz w:val="40"/>
          <w:szCs w:val="40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6"/>
          <w:szCs w:val="36"/>
        </w:rPr>
        <w:t>Most Significant Risk Discussed</w:t>
      </w:r>
      <w:r w:rsidRPr="00CA0045">
        <w:rPr>
          <w:rFonts w:ascii="Segoe UI" w:eastAsia="宋体" w:hAnsi="Segoe UI" w:cs="Segoe UI"/>
          <w:kern w:val="0"/>
          <w:sz w:val="36"/>
          <w:szCs w:val="36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Decision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This was identified as one of the highest-risk topics discussed.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Lilly expressed concern regarding: </w:t>
      </w:r>
    </w:p>
    <w:p w:rsidR="00CA0045" w:rsidRPr="00CA0045" w:rsidRDefault="00CA0045" w:rsidP="00CA0045">
      <w:pPr>
        <w:widowControl/>
        <w:numPr>
          <w:ilvl w:val="0"/>
          <w:numId w:val="5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Observed rust/residue event </w:t>
      </w:r>
    </w:p>
    <w:p w:rsidR="00CA0045" w:rsidRPr="00CA0045" w:rsidRDefault="00CA0045" w:rsidP="00CA0045">
      <w:pPr>
        <w:widowControl/>
        <w:numPr>
          <w:ilvl w:val="0"/>
          <w:numId w:val="5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Weld quality concerns </w:t>
      </w:r>
    </w:p>
    <w:p w:rsidR="00CA0045" w:rsidRPr="00CA0045" w:rsidRDefault="00CA0045" w:rsidP="00CA0045">
      <w:pPr>
        <w:widowControl/>
        <w:numPr>
          <w:ilvl w:val="0"/>
          <w:numId w:val="5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Solvent header condition </w:t>
      </w:r>
    </w:p>
    <w:p w:rsidR="00CA0045" w:rsidRPr="00CA0045" w:rsidRDefault="00CA0045" w:rsidP="00CA0045">
      <w:pPr>
        <w:widowControl/>
        <w:numPr>
          <w:ilvl w:val="0"/>
          <w:numId w:val="5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Potential metal impurity contribution to process risks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The team agreed: </w:t>
      </w:r>
    </w:p>
    <w:p w:rsidR="00CA0045" w:rsidRPr="00CA0045" w:rsidRDefault="00CA0045" w:rsidP="00CA0045">
      <w:pPr>
        <w:widowControl/>
        <w:numPr>
          <w:ilvl w:val="0"/>
          <w:numId w:val="6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Tank passivation and header passivation are separate issues. </w:t>
      </w:r>
    </w:p>
    <w:p w:rsidR="00CA0045" w:rsidRPr="00CA0045" w:rsidRDefault="00CA0045" w:rsidP="00CA0045">
      <w:pPr>
        <w:widowControl/>
        <w:numPr>
          <w:ilvl w:val="0"/>
          <w:numId w:val="6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Weld integrity concerns must be evaluated independently. </w:t>
      </w:r>
    </w:p>
    <w:p w:rsidR="00CA0045" w:rsidRPr="00CA0045" w:rsidRDefault="00CA0045" w:rsidP="00CA0045">
      <w:pPr>
        <w:widowControl/>
        <w:numPr>
          <w:ilvl w:val="0"/>
          <w:numId w:val="6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Additional inspections are likely required before pre-PPQ.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Key Leadership Message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Lilly clearly indicated that: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Confidence is required that solvent distribution systems and welds are not introducing metals into the process.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The discussion emphasized that filtration alone is unlikely to satisfy quality concerns.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Assigned Actions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24"/>
          <w:szCs w:val="24"/>
        </w:rPr>
        <w:t>Immediate</w:t>
      </w:r>
      <w:r w:rsidRPr="00CA0045">
        <w:rPr>
          <w:rFonts w:ascii="Segoe UI" w:eastAsia="宋体" w:hAnsi="Segoe UI" w:cs="Segoe UI"/>
          <w:kern w:val="0"/>
          <w:sz w:val="24"/>
          <w:szCs w:val="24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7"/>
        <w:gridCol w:w="1196"/>
        <w:gridCol w:w="1787"/>
      </w:tblGrid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Action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Owner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Deliverable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Share photographs of observed rusted weld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Yu / 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Visual evidence </w:t>
            </w:r>
          </w:p>
        </w:tc>
        <w:bookmarkStart w:id="0" w:name="_GoBack"/>
        <w:bookmarkEnd w:id="0"/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lastRenderedPageBreak/>
              <w:t>Determine weld type (manual vs orbital)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Technical assessment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Assess whether other similar welds exist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Scope determination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Provide solvent header drawings and identify common vs unique piping sections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Engineering package </w:t>
            </w:r>
          </w:p>
        </w:tc>
      </w:tr>
    </w:tbl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24"/>
          <w:szCs w:val="24"/>
        </w:rPr>
        <w:t>Short-Term Strategy</w:t>
      </w:r>
      <w:r w:rsidRPr="00CA0045">
        <w:rPr>
          <w:rFonts w:ascii="Segoe UI" w:eastAsia="宋体" w:hAnsi="Segoe UI" w:cs="Segoe UI"/>
          <w:kern w:val="0"/>
          <w:sz w:val="24"/>
          <w:szCs w:val="24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1834"/>
        <w:gridCol w:w="1564"/>
      </w:tblGrid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Action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Owner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Deliverable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 xml:space="preserve">Evaluate spot-checking, </w:t>
            </w:r>
            <w:proofErr w:type="spellStart"/>
            <w:r w:rsidRPr="00CA0045">
              <w:rPr>
                <w:rFonts w:ascii="Calibri" w:eastAsia="宋体" w:hAnsi="Calibri" w:cs="Calibri"/>
                <w:kern w:val="0"/>
                <w:sz w:val="22"/>
              </w:rPr>
              <w:t>borescoping</w:t>
            </w:r>
            <w:proofErr w:type="spellEnd"/>
            <w:r w:rsidRPr="00CA0045">
              <w:rPr>
                <w:rFonts w:ascii="Calibri" w:eastAsia="宋体" w:hAnsi="Calibri" w:cs="Calibri"/>
                <w:kern w:val="0"/>
                <w:sz w:val="22"/>
              </w:rPr>
              <w:t>, or visual inspection of similar welds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Inspection strategy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Reassess passivation timeline if limited only to solvent headers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Yan / Engineering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Updated schedule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Develop proposal for pre-PPQ risk mitigation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Risk reduction plan </w:t>
            </w:r>
          </w:p>
        </w:tc>
      </w:tr>
    </w:tbl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Gating Concern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 xml:space="preserve">The Lilly team repeatedly indicated this issue could become a </w:t>
      </w:r>
      <w:r w:rsidRPr="00CA0045">
        <w:rPr>
          <w:rFonts w:ascii="Segoe UI" w:eastAsia="宋体" w:hAnsi="Segoe UI" w:cs="Segoe UI"/>
          <w:b/>
          <w:bCs/>
          <w:kern w:val="0"/>
          <w:szCs w:val="21"/>
        </w:rPr>
        <w:t>pre-PPQ gating activity</w:t>
      </w:r>
      <w:r w:rsidRPr="00CA0045">
        <w:rPr>
          <w:rFonts w:ascii="Segoe UI" w:eastAsia="宋体" w:hAnsi="Segoe UI" w:cs="Segoe UI"/>
          <w:kern w:val="0"/>
          <w:szCs w:val="21"/>
        </w:rPr>
        <w:t xml:space="preserve"> if insufficient evidence is provided regarding: </w:t>
      </w:r>
    </w:p>
    <w:p w:rsidR="00CA0045" w:rsidRPr="00CA0045" w:rsidRDefault="00CA0045" w:rsidP="00CA0045">
      <w:pPr>
        <w:widowControl/>
        <w:numPr>
          <w:ilvl w:val="0"/>
          <w:numId w:val="7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Weld integrity </w:t>
      </w:r>
    </w:p>
    <w:p w:rsidR="00CA0045" w:rsidRPr="00CA0045" w:rsidRDefault="00CA0045" w:rsidP="00CA0045">
      <w:pPr>
        <w:widowControl/>
        <w:numPr>
          <w:ilvl w:val="0"/>
          <w:numId w:val="7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Metals risk </w:t>
      </w:r>
    </w:p>
    <w:p w:rsidR="00CA0045" w:rsidRPr="00CA0045" w:rsidRDefault="00CA0045" w:rsidP="00CA0045">
      <w:pPr>
        <w:widowControl/>
        <w:numPr>
          <w:ilvl w:val="0"/>
          <w:numId w:val="7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Solvent header condition </w:t>
      </w:r>
    </w:p>
    <w:p w:rsidR="00CA0045" w:rsidRPr="00CA0045" w:rsidRDefault="00CA0045" w:rsidP="00CA0045">
      <w:pPr>
        <w:widowControl/>
        <w:numPr>
          <w:ilvl w:val="0"/>
          <w:numId w:val="7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Deviation closure support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Leadership Watch Item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 xml:space="preserve">This is likely the </w:t>
      </w:r>
      <w:r w:rsidRPr="00CA0045">
        <w:rPr>
          <w:rFonts w:ascii="Segoe UI" w:eastAsia="宋体" w:hAnsi="Segoe UI" w:cs="Segoe UI"/>
          <w:b/>
          <w:bCs/>
          <w:kern w:val="0"/>
          <w:szCs w:val="21"/>
        </w:rPr>
        <w:t>top technical readiness risk coming out of the meeting</w:t>
      </w:r>
      <w:r w:rsidRPr="00CA0045">
        <w:rPr>
          <w:rFonts w:ascii="Segoe UI" w:eastAsia="宋体" w:hAnsi="Segoe UI" w:cs="Segoe UI"/>
          <w:kern w:val="0"/>
          <w:szCs w:val="21"/>
        </w:rPr>
        <w:t>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40"/>
          <w:szCs w:val="40"/>
        </w:rPr>
        <w:t>6. Purified Water Header &amp; Water-for-Cleaning Risk</w:t>
      </w:r>
      <w:r w:rsidRPr="00CA0045">
        <w:rPr>
          <w:rFonts w:ascii="Segoe UI" w:eastAsia="宋体" w:hAnsi="Segoe UI" w:cs="Segoe UI"/>
          <w:kern w:val="0"/>
          <w:sz w:val="40"/>
          <w:szCs w:val="40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Decision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The team acknowledged that similar purified-water-system design risks may exist outside purification operations and must be evaluated across all process steps.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Key Alignment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For SPPS and cleavage: </w:t>
      </w:r>
    </w:p>
    <w:p w:rsidR="00CA0045" w:rsidRPr="00CA0045" w:rsidRDefault="00CA0045" w:rsidP="00CA0045">
      <w:pPr>
        <w:widowControl/>
        <w:numPr>
          <w:ilvl w:val="0"/>
          <w:numId w:val="8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Water is used for cleaning activities. </w:t>
      </w:r>
    </w:p>
    <w:p w:rsidR="00CA0045" w:rsidRPr="00CA0045" w:rsidRDefault="00CA0045" w:rsidP="00CA0045">
      <w:pPr>
        <w:widowControl/>
        <w:numPr>
          <w:ilvl w:val="0"/>
          <w:numId w:val="8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Stagnation and unverified water quality remain potential concerns. </w:t>
      </w:r>
    </w:p>
    <w:p w:rsidR="00CA0045" w:rsidRPr="00CA0045" w:rsidRDefault="00CA0045" w:rsidP="00CA0045">
      <w:pPr>
        <w:widowControl/>
        <w:numPr>
          <w:ilvl w:val="0"/>
          <w:numId w:val="8"/>
        </w:numPr>
        <w:ind w:left="36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Immediate modifications may not be feasible.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lastRenderedPageBreak/>
        <w:t>Therefore: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Short-term controls + risk assessments + long-term remediation strategy</w:t>
      </w:r>
      <w:r w:rsidRPr="00CA0045">
        <w:rPr>
          <w:rFonts w:ascii="Segoe UI" w:eastAsia="宋体" w:hAnsi="Segoe UI" w:cs="Segoe UI"/>
          <w:kern w:val="0"/>
          <w:szCs w:val="21"/>
        </w:rPr>
        <w:t xml:space="preserve"> are required.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Assigned Actions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5"/>
        <w:gridCol w:w="1316"/>
        <w:gridCol w:w="1979"/>
      </w:tblGrid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Action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Owner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5F5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b/>
                <w:bCs/>
                <w:kern w:val="0"/>
                <w:sz w:val="22"/>
              </w:rPr>
              <w:t>Deliverable</w:t>
            </w:r>
            <w:r w:rsidRPr="00CA0045">
              <w:rPr>
                <w:rFonts w:ascii="Calibri" w:eastAsia="宋体" w:hAnsi="Calibri" w:cs="Calibri"/>
                <w:kern w:val="0"/>
                <w:sz w:val="22"/>
              </w:rPr>
              <w:t>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Develop short-term and long-term purified-water risk strategy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Yan / 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Risk mitigation plan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Assess all water-use points across process steps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System review </w:t>
            </w:r>
          </w:p>
        </w:tc>
      </w:tr>
      <w:tr w:rsidR="00CA0045" w:rsidRPr="00CA0045" w:rsidTr="00CA0045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Provide risk assessment supporting operation prior to full remediation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ECM Team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:rsidR="00CA0045" w:rsidRPr="00CA0045" w:rsidRDefault="00CA0045" w:rsidP="00CA0045">
            <w:pPr>
              <w:widowControl/>
              <w:jc w:val="left"/>
              <w:textAlignment w:val="baseline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A0045">
              <w:rPr>
                <w:rFonts w:ascii="Calibri" w:eastAsia="宋体" w:hAnsi="Calibri" w:cs="Calibri"/>
                <w:kern w:val="0"/>
                <w:sz w:val="22"/>
              </w:rPr>
              <w:t>Risk assessment package </w:t>
            </w:r>
          </w:p>
        </w:tc>
      </w:tr>
    </w:tbl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Risk Assessment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Moderate to High Risk</w:t>
      </w:r>
      <w:r w:rsidRPr="00CA0045">
        <w:rPr>
          <w:rFonts w:ascii="Segoe UI" w:eastAsia="宋体" w:hAnsi="Segoe UI" w:cs="Segoe UI"/>
          <w:kern w:val="0"/>
          <w:szCs w:val="21"/>
        </w:rPr>
        <w:t xml:space="preserve"> Likely manageable through documented risk acceptance and controls but needs formal justification.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Calibri" w:eastAsia="宋体" w:hAnsi="Calibri" w:cs="Calibri"/>
          <w:kern w:val="0"/>
          <w:sz w:val="22"/>
        </w:rPr>
        <w:t> </w:t>
      </w:r>
      <w:r w:rsidRPr="00CA0045">
        <w:rPr>
          <w:rFonts w:ascii="Calibri" w:eastAsia="宋体" w:hAnsi="Calibri" w:cs="Calibri"/>
          <w:kern w:val="0"/>
          <w:sz w:val="22"/>
        </w:rPr>
        <w:br/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40"/>
          <w:szCs w:val="40"/>
        </w:rPr>
        <w:t>Lead Team Prioritized Action List</w:t>
      </w:r>
      <w:r w:rsidRPr="00CA0045">
        <w:rPr>
          <w:rFonts w:ascii="Segoe UI" w:eastAsia="宋体" w:hAnsi="Segoe UI" w:cs="Segoe UI"/>
          <w:kern w:val="0"/>
          <w:sz w:val="40"/>
          <w:szCs w:val="40"/>
        </w:rPr>
        <w:t>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Highest Priority / Potential Pre-PPQ Gating Items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numPr>
          <w:ilvl w:val="0"/>
          <w:numId w:val="9"/>
        </w:numPr>
        <w:ind w:left="360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Solvent header passivation, weld quality investigation, and metals risk assessment</w:t>
      </w:r>
      <w:r w:rsidRPr="00CA0045">
        <w:rPr>
          <w:rFonts w:ascii="Segoe UI" w:eastAsia="宋体" w:hAnsi="Segoe UI" w:cs="Segoe UI"/>
          <w:kern w:val="0"/>
          <w:szCs w:val="21"/>
        </w:rPr>
        <w:t>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Pictures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Weld inspections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Header assessment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Revised timeline </w:t>
      </w:r>
    </w:p>
    <w:p w:rsidR="00CA0045" w:rsidRPr="00CA0045" w:rsidRDefault="00CA0045" w:rsidP="00CA0045">
      <w:pPr>
        <w:widowControl/>
        <w:numPr>
          <w:ilvl w:val="0"/>
          <w:numId w:val="9"/>
        </w:numPr>
        <w:ind w:left="360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Demonstration of adequate cleaning status for SPPS equipment entering pre-PPQ</w:t>
      </w:r>
      <w:r w:rsidRPr="00CA0045">
        <w:rPr>
          <w:rFonts w:ascii="Segoe UI" w:eastAsia="宋体" w:hAnsi="Segoe UI" w:cs="Segoe UI"/>
          <w:kern w:val="0"/>
          <w:szCs w:val="21"/>
        </w:rPr>
        <w:t>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Cleaning records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Evidence of cleaning execution </w:t>
      </w:r>
    </w:p>
    <w:p w:rsidR="00CA0045" w:rsidRPr="00CA0045" w:rsidRDefault="00CA0045" w:rsidP="00CA0045">
      <w:pPr>
        <w:widowControl/>
        <w:numPr>
          <w:ilvl w:val="0"/>
          <w:numId w:val="9"/>
        </w:numPr>
        <w:ind w:left="360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Raw material staging contamination-control mitigations</w:t>
      </w:r>
      <w:r w:rsidRPr="00CA0045">
        <w:rPr>
          <w:rFonts w:ascii="Segoe UI" w:eastAsia="宋体" w:hAnsi="Segoe UI" w:cs="Segoe UI"/>
          <w:kern w:val="0"/>
          <w:szCs w:val="21"/>
        </w:rPr>
        <w:t>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Immediate administrative controls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CCS updates </w:t>
      </w:r>
    </w:p>
    <w:p w:rsidR="00CA0045" w:rsidRPr="00CA0045" w:rsidRDefault="00CA0045" w:rsidP="00CA0045">
      <w:pPr>
        <w:widowControl/>
        <w:numPr>
          <w:ilvl w:val="0"/>
          <w:numId w:val="9"/>
        </w:numPr>
        <w:ind w:left="360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Cs w:val="21"/>
        </w:rPr>
        <w:t>Purified-water risk strategy</w:t>
      </w:r>
      <w:r w:rsidRPr="00CA0045">
        <w:rPr>
          <w:rFonts w:ascii="Segoe UI" w:eastAsia="宋体" w:hAnsi="Segoe UI" w:cs="Segoe UI"/>
          <w:kern w:val="0"/>
          <w:szCs w:val="21"/>
        </w:rPr>
        <w:t>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Short-term controls </w:t>
      </w:r>
    </w:p>
    <w:p w:rsidR="00CA0045" w:rsidRPr="00CA0045" w:rsidRDefault="00CA0045" w:rsidP="00CA0045">
      <w:pPr>
        <w:widowControl/>
        <w:numPr>
          <w:ilvl w:val="1"/>
          <w:numId w:val="9"/>
        </w:numPr>
        <w:ind w:left="720"/>
        <w:jc w:val="left"/>
        <w:textAlignment w:val="baseline"/>
        <w:rPr>
          <w:rFonts w:ascii="Calibri" w:eastAsia="宋体" w:hAnsi="Calibri" w:cs="Calibri"/>
          <w:kern w:val="0"/>
          <w:sz w:val="22"/>
        </w:rPr>
      </w:pPr>
      <w:r w:rsidRPr="00CA0045">
        <w:rPr>
          <w:rFonts w:ascii="Segoe UI" w:eastAsia="宋体" w:hAnsi="Segoe UI" w:cs="Segoe UI"/>
          <w:kern w:val="0"/>
          <w:szCs w:val="21"/>
        </w:rPr>
        <w:t>Risk assessments </w:t>
      </w:r>
    </w:p>
    <w:p w:rsidR="00CA0045" w:rsidRPr="00CA0045" w:rsidRDefault="00CA0045" w:rsidP="00CA0045">
      <w:pPr>
        <w:widowControl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b/>
          <w:bCs/>
          <w:kern w:val="0"/>
          <w:sz w:val="32"/>
          <w:szCs w:val="32"/>
        </w:rPr>
        <w:t>Secondary Priority</w:t>
      </w:r>
      <w:r w:rsidRPr="00CA0045">
        <w:rPr>
          <w:rFonts w:ascii="Segoe UI" w:eastAsia="宋体" w:hAnsi="Segoe UI" w:cs="Segoe UI"/>
          <w:kern w:val="0"/>
          <w:sz w:val="32"/>
          <w:szCs w:val="32"/>
        </w:rPr>
        <w:t> </w:t>
      </w:r>
    </w:p>
    <w:p w:rsidR="00CA0045" w:rsidRPr="00CA0045" w:rsidRDefault="00CA0045" w:rsidP="00CA0045">
      <w:pPr>
        <w:widowControl/>
        <w:numPr>
          <w:ilvl w:val="0"/>
          <w:numId w:val="10"/>
        </w:numPr>
        <w:ind w:left="360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Purification piping slope verification and modification tracking </w:t>
      </w:r>
    </w:p>
    <w:p w:rsidR="00CA0045" w:rsidRPr="00CA0045" w:rsidRDefault="00CA0045" w:rsidP="00CA0045">
      <w:pPr>
        <w:widowControl/>
        <w:numPr>
          <w:ilvl w:val="0"/>
          <w:numId w:val="10"/>
        </w:numPr>
        <w:ind w:left="360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CA0045">
        <w:rPr>
          <w:rFonts w:ascii="Segoe UI" w:eastAsia="宋体" w:hAnsi="Segoe UI" w:cs="Segoe UI"/>
          <w:kern w:val="0"/>
          <w:szCs w:val="21"/>
        </w:rPr>
        <w:t>Enhanced cleaning SOP and cleaning record development </w:t>
      </w:r>
    </w:p>
    <w:p w:rsidR="00D545B3" w:rsidRPr="00CA0045" w:rsidRDefault="00D545B3"/>
    <w:sectPr w:rsidR="00D545B3" w:rsidRPr="00CA0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5463"/>
    <w:multiLevelType w:val="multilevel"/>
    <w:tmpl w:val="2E2C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E4423"/>
    <w:multiLevelType w:val="multilevel"/>
    <w:tmpl w:val="861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3E3783"/>
    <w:multiLevelType w:val="multilevel"/>
    <w:tmpl w:val="C6A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064DB5"/>
    <w:multiLevelType w:val="multilevel"/>
    <w:tmpl w:val="9F9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FF5E49"/>
    <w:multiLevelType w:val="multilevel"/>
    <w:tmpl w:val="E34E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468BE"/>
    <w:multiLevelType w:val="multilevel"/>
    <w:tmpl w:val="2CF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567900"/>
    <w:multiLevelType w:val="multilevel"/>
    <w:tmpl w:val="9440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74428"/>
    <w:multiLevelType w:val="multilevel"/>
    <w:tmpl w:val="F81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AF7D2D"/>
    <w:multiLevelType w:val="multilevel"/>
    <w:tmpl w:val="018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DE1C2F"/>
    <w:multiLevelType w:val="multilevel"/>
    <w:tmpl w:val="DA2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9"/>
  </w:num>
  <w:num w:numId="5">
    <w:abstractNumId w:val="0"/>
  </w:num>
  <w:num w:numId="6">
    <w:abstractNumId w:val="3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88F"/>
    <w:rsid w:val="007E188F"/>
    <w:rsid w:val="00CA0045"/>
    <w:rsid w:val="00D5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A5FC1-9ABE-462B-8EE2-F5DC8B03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CA004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ormaltextrun">
    <w:name w:val="normaltextrun"/>
    <w:basedOn w:val="a0"/>
    <w:rsid w:val="00CA0045"/>
  </w:style>
  <w:style w:type="character" w:customStyle="1" w:styleId="eop">
    <w:name w:val="eop"/>
    <w:basedOn w:val="a0"/>
    <w:rsid w:val="00CA0045"/>
  </w:style>
  <w:style w:type="character" w:customStyle="1" w:styleId="scxo191069148">
    <w:name w:val="scxo191069148"/>
    <w:basedOn w:val="a0"/>
    <w:rsid w:val="00CA0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3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91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5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0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3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4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36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6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2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1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8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1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3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8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5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6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1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4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4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6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7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4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7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7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1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4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2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3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3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03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0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31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3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7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5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01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1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4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7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3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721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6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4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4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3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7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9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3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82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68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6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2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8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5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51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8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13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7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65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0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6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29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33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27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6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89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2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0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9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3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8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20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0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6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3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8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2026-10-01T13:07:00Z</dcterms:created>
  <dcterms:modified xsi:type="dcterms:W3CDTF">2026-10-01T13:08:00Z</dcterms:modified>
</cp:coreProperties>
</file>