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0" w:after="280" w:line="276" w:lineRule="auto"/>
        <w:rPr>
          <w:rFonts w:ascii="Calibri" w:hAnsi="Calibri" w:eastAsia="Microsoft YaHei" w:cs="Microsoft YaHei"/>
          <w:b/>
          <w:bCs/>
          <w:sz w:val="36"/>
          <w:szCs w:val="36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36"/>
          <w:szCs w:val="36"/>
          <w:lang w:val="en-US" w:eastAsia="zh-CN"/>
        </w:rPr>
        <w:t xml:space="preserve">配体特征建模与公开收率泛化：解说词</w:t>
      </w:r>
    </w:p>
    <w:p>
      <w:pPr>
        <w:pStyle w:val="Normal"/>
        <w:spacing w:before="0" w:after="28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这套幻灯片讲三组已经核对过的结果：Kraken 单膦描述符、Doyle 与 Perera 的公开高通量实验，以及在既有 Buchwald–Hartwig 条件池上的离散贝叶斯优化。数字来自 ligand_outputs/results_summary.json、yield_bo_pyg_outputs/summary.json 和 hte_scientific_outputs/summary.json，图是管线真实输出。Kraken 的标签是埋藏体积比 vbur_ratio_vbur_vtot，随机划分 R² 度量插值，图模型在四张配体图上输给树模型，离散 BO 是回顾式池内排序。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第1页 — Ligand feature modeling and public yield generalization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封面把整套材料分成三条。Kraken 轨道是 237 个单膦、17 个描述符，标签 vbur_ratio_vbur_vtot 是埋藏体积比。公开收率来自 Doyle Buchwald–Hartwig（n=3955）和 Perera Suzuki–Miyaura（n=5760）；随机划分说明的是插值，留一组分才是外推检验。离散 BO 在已有 BH 条件池里做回顾排序，UCB 高于随机，这一步不生成新配体。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第2页 — What the numbers establish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插值已经够强：Kraken 上 XGBoost 对埋藏体积比的 R² 是 0.857（RMSE 0.0182），BH 全表 multi-FP XGB 随机 5-fold 的 R² 是 0.938（RMSE 6.77），Doyle reaction 0 的 bootstrap R² 是 0.932（RMSE 7.84）。迁移取决于拿掉的化学：BH leave-one-ligand 平均 R² 只有 0.36，因为 XPhos 的 R² 约为 −0.92，而 BrettPhos 家族的 multi-FP R² 为 0.94 和 0.90；多组分指纹在 17/22 个未见添加剂上降低了 RMSE。树模型胜过图模型，区间是校准过的：ligand GIN 的 R² 是 0.185，树模型约为 0.94，split conformal 在名义 80% 和 90% 上的覆盖率是 0.796 和 0.891。回顾式池里 UCB 结束时的最佳收率是 84.3，随机是 81.8，池最大是 86.6。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第3页 — Two labels sit in the same repo and are not interchangeable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仓库里的两个标签不能互换。Kraken 单膦 n=237，训练、验证、测试为 141/48/48，17 个描述符来自 Excel 的 O–AE 列，SMILES 只进入 hybrid 模型，XGBoost 的 R² 0.8574 拟合的是 vbur_ratio_vbur_vtot。实验收率在公开 HTE 上：仪表盘切片是 Doyle BH reaction 0，n=790、四个配体；完整表 n=3955，即这四个配体乘以 22 个添加剂、3 个碱、15 个芳基卤和 5 个产物。Suzuki–Miyaura 的 n=5760 记的是 HPLC area%，与 BH 收率是不同的物理量，RMSE 的绝对值不能横比。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第4页 — XGBoost is the workhorse on the buried-volume-ratio label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Kraken 留出测试集 n=48 上，XGBoost 是主力，R² 0.857，RMSE 0.0182，MAE 0.0145。集成平均的 R² 是 0.826（RMSE 0.0201，MAE 0.0151），它是稳健性备份。字符级 SMILES 在 17 个描述符之外仍有信号：hybrid 的 R² 0.760，attention 是 0.542（RMSE 0.0327，MAE 0.0230），两者都低于树。Group attention 用作解释头，四组平均权重是 O–Q 0.25、R–T 0.15、U–W 0.32、X–AE 0.28；XGBoost 重要性最高的是 sterimol_B1 0.260 和 E_solv_total 0.185，其后是 sterimol_B5 0.118、sterimol_burL 0.076 和 vbur_vbur.2 0.073。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第5页 — Model comparison on the held-out Kraken test set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ligand_outputs/figures/model_performance.png 比较留出测试集上各模型的 RMSE、MAE 和 R²。XGBoost 的 RMSE 最低，为 0.0182，R² 最高，为 0.857。集成平均没有超过这一头。Attention 是最弱的预测器，它的分数留作解释。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第6页 — Parity: predicted vs true buried-volume ratio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ligand_outputs/figures/actual_vs_predicted.png 把四个模型的预测对到真实埋藏体积比。XGBoost 贴着对角线，误差和测试 RMSE 0.0182 一致。Attention 的点明显偏离，残差大到不能当预测器，这些分数只保留解释用途。横轴和纵轴都是 vbur ratio，这张奇偶图不提供收率读数。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第7页 — XGBoost ranks minimum width and solvation first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ligand_outputs/figures/xgboost_feature_importance.png 为 17 个 Kraken 描述符排序。sterimol_B1 为 0.260，E_solv_total 为 0.185，sterimol_B5 为 0.118，电子项 NBO、FMO 和 nmr_P 更靠后。这是埋藏体积比模型里的立体与溶剂化排序，重要性描述的是对 vbur_ratio_vbur_vtot 的贡献。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第8页 — Attention latent space colored by the same vbur ratio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ligand_outputs/figures/ligand_embedding_tsne.png 是描述符 attention 潜空间的 t-SNE，颜色是同一个 vbur_ratio_vbur_vtot。二维嵌入按这个比值组织，邻近配体的埋藏体积比相近。它给出短名单的几何，不构成反应家族地图。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第9页 — Group attention is ligand-dependent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ligand_outputs/figures/descriptor_group_attention_heatmap.png 按测试配体显示分组注意力。平均上看，U–W（埋藏体积）和 X–AE（电子与溶剂化）权重大。若干测试配体会把 U–W 与 O–Q 对调，一条全局重要性向量因此不完整，解释要落到具体配体。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第10页 — Random-split R² 0.93 is interpolation; scaffold RMSE is 14.2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这一页是仪表盘切片 Doyle BH reaction 0，n=790、单一产物，四个配体是 tBuXPhos、AdBrettPhos、tBuBrettPhos 和 XPhos。随机划分的数字很高：bootstrap XGB + Morgan 的测试 R² 为 0.932（RMSE 7.84，MAE 5.80），随机 2-fold 的 RMSE 为 9.26 ± 0.59、R² 为 0.899，四个配体出现在划分两侧，所以度量的是插值。Murcko scaffold 的 GroupKFold 给出 RMSE 14.19 ± 4.81、R² 0.707，两折 R² 分别是 0.90 和 0.51，这是这 790 行该报的泛化结果。PyG GNN 的 R² 为 −0.45、RMSE 36.1，配体图只有四张；分位数均值的 R² 为 0.877，80% 区间覆盖率 0.785。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第11页 — Bootstrap predictions track yield; uncertainty is not uniform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yield_bo_pyg_outputs/figures/rdkit_bootstrap_uncertainty_scatter.png 上，bootstrap 预测跟着收率走，测试 R² 0.932，平均 bootstrap 标准差为 3.90 个收率点。不确定度沿收率轴并不均匀。分位数 80% 区间的平均宽度是 37.7，覆盖率 0.785，略低于名义 0.80。全表上贴着名义水平的区间是后面的 split conformal。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第12页 — Top EI rows sit on MTBD × 4-ethyl haloarene × isoxazoles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EI 排序的前几行集中在碱 MTBD、4-乙基卤代芳烃和异噁唑类添加剂。第 1 行是 tBuXPhos、5-Me-isoxazole-4-CO2Et、MTBD、4-Et-C6H4-I，真实收率 84.9，预测 86.3，std 2.74，EI 0.95。第 3 行真实收率已有 86.6，EI 只有 0.45，因为预测均值是 81.8、std 是 5.02；第 7 行 AdBrettPhos 与 benzisoxazole 的 EI 来自 std 15.58，预测均值只有 57.4，真实值 70.3。表中排的是池内已有元组，XPhos 在池中但没有进入前八，这一步不生成新配体。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第13页 — Logged dashboard BO loop on the same 790-row pool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yield_bo_pyg_outputs/figures/rdkit_discrete_bo_curve.png 记录的是同一 790 行池上的短循环，最佳观测收率从 74.97 升到 75.97。EI 表里已经出现收率八十以上的条件，所以这条曲线只走了 5 次迭代。它和后面 8 个种子、20 次随机初始化加 28 步采集的战役是两次不同的运行。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第14页 — Chemically meaningful splits on Doyle 3955 and Perera 5760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科学核对用完整公开表，不再只看 790 行切片。Buchwald–Hartwig 来自 Ahneman / Doyle 2018，n=3955，组成为 4 ligands × 22 additives × 3 bases × 15 aryl halides × 5 products，标签是 isolated-style yield；对照包括 main-effects、one-hot XGB、ligand-FP XGB、multi-FP XGB 和 residual XGB。Suzuki–Miyaura 来自 Perera 2018，n=5760，含 11 个命名配体以及 no-ligand，标签是 HPLC area%。仪表盘上的 790 行就是这张 BH 表的 reaction 0，全表的 leave-one-component 才是外推检验。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第15页 — Multi-component fingerprints help where the held-out piece has structure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多组分指纹在被留出的组分本身带有结构时才明显拉开差距。随机 5-fold 上，main-effects 的 R² 为 0.601，one-hot 为 0.906，ligand-FP 为 0.908，multi-FP 为 0.938，RMSE 6.77。Leave-one-ligand 的平均 R²，multi-FP 为 0.365、RMSE 14.64，与 one-hot 的 0.361 几乎相同，这个均值被 XPhos 拉低。未见添加剂的 GroupKFold 上 multi-FP R² 为 0.718、RMSE 14.25；22 次 leave-one-additive 的平均 R² 为 0.451，更稳的中位数是 multi-FP R² 0.77、RMSE 12.5，对照 one-hot 中位数 R² 0.69、RMSE 14.3。未见产物与未见芳基卤上，只有 multi-FP 的平均 R² 为正，分别是 0.084（RMSE 21.64）和 0.152（RMSE 17.27）。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第16页 — Buchwald–Hartwig RMSE under chemically meaningful splits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hte_scientific_outputs/figures/bh_rmse_by_split.png 用 RMSE 比较化学划分。Multi-FP 与 residual XGB 把随机划分的 RMSE 压到 6.77–6.72。未见添加剂和未见芳基卤上，它们仍低于 one-hot 和 ligand-only FP。Leave-one-ligand 停在大约 14.6，因为迁移是否成立取决于被拿掉的配体，平均误差把 BrettPhos 家族和 XPhos 混在一起。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第17页 — The same BH splits as R²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hte_scientific_outputs/figures/bh_r2_by_split.png 是同一组划分的 R²。随机划分 R² 0.94 度量的是插值；multi-FP 是唯一在未见产物（平均 R² 0.084）和未见芳基卤（0.152）上保持正值的模型。Leave-one-ligand 的误差棒从能够迁移一直延伸到失败，平均 R² 0.36 需要配体拆开才能读。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第18页 — Leave-one-ligand-out RMSE depends on which Buchwald ligand is held out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hte_scientific_outputs/figures/bh_lolo_per_ligand.png 把 leave-one-ligand 拆到四个 Buchwald 配体。tBuBrettPhos 与 AdBrettPhos 可以迁移，multi-FP RMSE 为 7.26 和 9.11。tBuXPhos 在指纹模型下变差，RMSE 17.95，one-hot 为 13.71。XPhos（PCy₂）对每个模型都失败，RMSE 约 24–25，R² 约为 −1；能迁移的是 BrettPhos 家族内部。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第19页 — Per-ligand parity on Doyle BH leave-one-ligand-out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hte_scientific_outputs/figures/bh_lolo_per_ligand_scatter.png 按配体画出预测对真实收率。BrettPhos 家族的面板贴着对角线。XPhos 的预测与真实收率没有相关性，四个 Buchwald 配体因此撑不起一条通用配体编码器。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第20页 — Unseen additives: multi-component fingerprints help 17 of 22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hte_scientific_outputs/figures/bh_loao_delta_rmse.png 中，绿条表示 multi-FP 的 RMSE 低于 one-hot。22 个添加剂里有 17 个如此。Leave-one-additive 的中位 R² 从 one-hot 的 0.69 升到 multi-FP 的 0.77，添加剂上的结构才是这套指纹挪动误差的部分。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第21页 — Concatenated leave-one-additive-out parity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hte_scientific_outputs/figures/bh_loao_scatter.png 把各次 leave-one-additive 拼在一起。合并后的 LOAO R² 从 one-hot 的 0.616 升到 multi-FP 的 0.698。中等收率处残差仍然大，添加剂结构有用，但外推误差还在。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第22页 — Suzuki–Miyaura RMSE under chemically meaningful splits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hte_scientific_outputs/figures/suzuki_rmse_by_split.png 把同一问题放到 Perera 的 Suzuki–Miyaura，标签是 HPLC area%。随机 5-fold 上 multi-FP 的 R² 为 0.855，RMSE 10.70。Leave-one-reagent 仍然容易，R² 为 0.76；leave-one-ligand 与 leave-one-solvent 明显变差，未见配体上指纹并不优于 one-hot。这里的 RMSE 与 BH 的 isolated-style yield 属于不同物理量，只宜比较划分之间的趋势。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第23页 — Suzuki leave-one-ligand-out: Xantphos breaks every model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hte_scientific_outputs/figures/suzuki_lolo_per_ligand.png 按配体拆开 Suzuki 的 leave-one-ligand。Xantphos 是双齿膦，每个模型的 R² 都为负，multi-FP 为 −3.98，RMSE 38.1。命名配体上的 Morgan 指纹跨不过单膦和双膦，配体化学超出训练家族时指纹外推不成立。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第24页 — Split conformal coverage matches the nominal 80% and 90% levels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hte_scientific_outputs/figures/conformal_coverage.png 比较 split conformal 的经验覆盖与名义水平。Multi-FP XGB 在随机 hold-out 上，80% 区间覆盖率 0.796，平均宽度 16.3，q̂ 为 8.14；90% 区间覆盖率 0.891，平均宽度 22.8。同一次测试 RMSE 7.73、R² 0.922，覆盖率贴着 0.80 和 0.90，区间是校准过的。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第25页 — Retrospective simple regret on BH reaction 0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hte_scientific_outputs/figures/bo_regret.png 是 BH reaction 0 上的回顾式 simple regret。池子 n=790，全局最大收率 86.60，设定为 8 个种子、20 次随机初始化再加 28 步。结束时最佳收率是 random 81.84 ± 2.23、greedy 83.84 ± 2.49、UCB 84.31 ± 2.49、EI 83.55 ± 2.25。这是池模拟，UCB 高于随机，距离池最大仍有约两个收率点。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第26页 — Best observed yield vs evaluations after initialization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图 hte_scientific_outputs/figures/bo_campaign.png 画出初始化之后最佳观测收率随评估次数的变化，色带是种子间标准差。池子里高收率条件已经很多，随机初始化从大约 79 起步，采集策略收尾时比随机高出约 2 到 2.5 个收率点，仍低于池最大 86.6。图上完成的是已有条件元组的排序，回顾式池模拟不能替代 DOE。</w:t>
      </w:r>
    </w:p>
    <w:p>
      <w:pPr>
        <w:pStyle w:val="Heading1"/>
        <w:spacing w:before="280" w:after="80" w:line="276" w:lineRule="auto"/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</w:pPr>
      <w:r>
        <w:rPr>
          <w:rFonts w:ascii="Calibri" w:hAnsi="Calibri" w:eastAsia="Microsoft YaHei" w:cs="Microsoft YaHei"/>
          <w:b/>
          <w:bCs/>
          <w:sz w:val="28"/>
          <w:szCs w:val="28"/>
          <w:lang w:val="en-US" w:eastAsia="zh-CN"/>
        </w:rPr>
        <w:t xml:space="preserve">第27页 — What is established, and where the models stop</w:t>
      </w:r>
    </w:p>
    <w:p>
      <w:pPr>
        <w:pStyle w:val="Normal"/>
        <w:spacing w:before="0" w:after="120" w:line="276" w:lineRule="auto"/>
        <w:rPr>
          <w:rFonts w:ascii="Calibri" w:hAnsi="Calibri" w:eastAsia="Microsoft YaHei" w:cs="Microsoft YaHei"/>
          <w:sz w:val="24"/>
          <w:szCs w:val="24"/>
          <w:lang w:val="en-US" w:eastAsia="zh-CN"/>
        </w:rPr>
      </w:pPr>
      <w:r>
        <w:rPr>
          <w:rFonts w:ascii="Calibri" w:hAnsi="Calibri" w:eastAsia="Microsoft YaHei" w:cs="Microsoft YaHei"/>
          <w:sz w:val="24"/>
          <w:szCs w:val="24"/>
          <w:lang w:val="en-US" w:eastAsia="zh-CN"/>
        </w:rPr>
        <w:t xml:space="preserve">已经立住的结果有五条：Kraken 上 XGBoost 对 vbur_ratio_vbur_vtot 的 R² 为 0.857；BH 上 multi-FP 的插值 R² 为 0.938，添加剂迁移为 17/22；BrettPhos 家族的 leave-one-ligand 成立，XPhos 与 Xantphos 不成立；split conformal 的经验覆盖贴着名义水平；8 个种子的回顾式池里 UCB 优于随机。模型同时停在这些事实上。Kraken 的标签是埋藏体积比；GNN 在 reaction 0 上的 R² 为 −0.45，全表上为 0.08–0.19；790 行切片该报的泛化数字是 scaffold RMSE 14.19。离散 BO 只为已有条件排序，Suzuki 的 area% 与 BH 的 isolated yield 也不是同一物理量。</w:t>
      </w:r>
    </w:p>
    <w:sectPr>
      <w:pgSz w:w="11906" w:h="16838"/>
      <w:pgMar w:top="1134" w:right="1134" w:bottom="1134" w:left="13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lang w:val="en-US" w:eastAsia="zh-CN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</w:pPr>
  </w:style>
  <w:style w:type="paragraph" w:styleId="Heading1">
    <w:name w:val="heading 1"/>
    <w:basedOn w:val="Normal"/>
    <w:uiPriority w:val="9"/>
    <w:qFormat/>
    <w:pPr>
      <w:outlineLvl w:val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Python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配体特征建模与公开收率泛化：解说词</dc:title>
  <dc:subject>ligand_dashboard_slides_en.html narration</dc:subject>
  <dc:description>Spoken Chinese narration for the English ligand dashboard slide deck.</dc:description>
  <dc:language>zh-CN</dc:language>
</cp:coreProperties>
</file>