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Microsoft YaHei" w:hAnsi="Microsoft YaHei" w:eastAsia="Microsoft YaHei"/>
          <w:color w:val="0F1F3D"/>
          <w:sz w:val="44"/>
        </w:rPr>
        <w:t>埃森哲合作能力与设备预测性维护推进思路</w:t>
      </w:r>
    </w:p>
    <w:p>
      <w:pPr>
        <w:jc w:val="center"/>
      </w:pPr>
      <w:r>
        <w:rPr>
          <w:rFonts w:ascii="Microsoft YaHei" w:hAnsi="Microsoft YaHei" w:eastAsia="Microsoft YaHei"/>
          <w:b/>
          <w:color w:val="FF7E3D"/>
          <w:sz w:val="26"/>
        </w:rPr>
        <w:t>v2.0</w:t>
      </w:r>
    </w:p>
    <w:p/>
    <w:p>
      <w:pPr>
        <w:spacing w:after="120" w:line="360" w:lineRule="auto"/>
      </w:pPr>
      <w:r>
        <w:rPr>
          <w:rFonts w:ascii="Microsoft YaHei" w:hAnsi="Microsoft YaHei" w:eastAsia="Microsoft YaHei"/>
          <w:b w:val="0"/>
          <w:i w:val="0"/>
          <w:sz w:val="22"/>
        </w:rPr>
        <w:t>本汇报围绕四件事：埃森哲是什么样的合作方、它在资产管理方向的典型案例、设备预测性维护的开展思路、凯莱英启动该项目前需要完成的准备工作。</w:t>
      </w:r>
    </w:p>
    <w:p>
      <w:r>
        <w:br w:type="page"/>
      </w:r>
    </w:p>
    <w:p>
      <w:pPr>
        <w:pStyle w:val="Heading1"/>
      </w:pPr>
      <w:r>
        <w:rPr>
          <w:rFonts w:ascii="Microsoft YaHei" w:hAnsi="Microsoft YaHei" w:eastAsia="Microsoft YaHei"/>
          <w:color w:val="0F1F3D"/>
          <w:sz w:val="34"/>
        </w:rPr>
        <w:t>PART 01 · 埃森哲是什么、做什么</w:t>
      </w:r>
    </w:p>
    <w:p>
      <w:pPr>
        <w:spacing w:after="120" w:line="360" w:lineRule="auto"/>
      </w:pPr>
      <w:r>
        <w:rPr>
          <w:rFonts w:ascii="Microsoft YaHei" w:hAnsi="Microsoft YaHei" w:eastAsia="Microsoft YaHei"/>
          <w:b w:val="0"/>
          <w:i w:val="0"/>
          <w:sz w:val="22"/>
        </w:rPr>
        <w:t>埃森哲是全球性咨询与系统集成公司，2025 财年营收约 700 亿美元、全球员工 80 万、覆盖 120 个国家、服务客户 9000+。内部专门服务制造型企业的事业部为 Industry X（工业 X），是本次合作的对接方。</w:t>
      </w:r>
    </w:p>
    <w:p>
      <w:pPr>
        <w:spacing w:after="120" w:line="360" w:lineRule="auto"/>
      </w:pPr>
      <w:r>
        <w:rPr>
          <w:rFonts w:ascii="Microsoft YaHei" w:hAnsi="Microsoft YaHei" w:eastAsia="Microsoft YaHei"/>
          <w:b w:val="0"/>
          <w:i w:val="0"/>
          <w:sz w:val="22"/>
        </w:rPr>
        <w:t>与传统供应商相比，埃森哲的定位有明确边界：不卖传感器（区别于西门子、艾默生）、不持有大模型（区别于阿里、华为云、智现未来）、不做工艺研发。其核心交付能力是行业咨询、系统集成、数据建模、知识图谱构建、变革管理五项，通过组合第三方硬件与软件，把客户的业务目标端到端落到现场。</w:t>
      </w:r>
    </w:p>
    <w:p>
      <w:pPr>
        <w:pStyle w:val="Heading2"/>
      </w:pPr>
      <w:r>
        <w:rPr>
          <w:rFonts w:ascii="Microsoft YaHei" w:hAnsi="Microsoft YaHei" w:eastAsia="Microsoft YaHei"/>
          <w:color w:val="1E40AF"/>
          <w:sz w:val="26"/>
        </w:rPr>
        <w:t>资产管理方向的三段服务体系</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fill="0F1F3D"/>
          </w:tcPr>
          <w:p>
            <w:r/>
            <w:r>
              <w:rPr>
                <w:rFonts w:ascii="Microsoft YaHei" w:hAnsi="Microsoft YaHei" w:eastAsia="Microsoft YaHei"/>
                <w:b/>
                <w:color w:val="FFFFFF"/>
                <w:sz w:val="20"/>
              </w:rPr>
              <w:t>阶段</w:t>
            </w:r>
          </w:p>
        </w:tc>
        <w:tc>
          <w:tcPr>
            <w:tcW w:type="dxa" w:w="3135"/>
            <w:shd w:val="clear" w:fill="0F1F3D"/>
          </w:tcPr>
          <w:p>
            <w:r/>
            <w:r>
              <w:rPr>
                <w:rFonts w:ascii="Microsoft YaHei" w:hAnsi="Microsoft YaHei" w:eastAsia="Microsoft YaHei"/>
                <w:b/>
                <w:color w:val="FFFFFF"/>
                <w:sz w:val="20"/>
              </w:rPr>
              <w:t>核心内容</w:t>
            </w:r>
          </w:p>
        </w:tc>
        <w:tc>
          <w:tcPr>
            <w:tcW w:type="dxa" w:w="3135"/>
            <w:shd w:val="clear" w:fill="0F1F3D"/>
          </w:tcPr>
          <w:p>
            <w:r/>
            <w:r>
              <w:rPr>
                <w:rFonts w:ascii="Microsoft YaHei" w:hAnsi="Microsoft YaHei" w:eastAsia="Microsoft YaHei"/>
                <w:b/>
                <w:color w:val="FFFFFF"/>
                <w:sz w:val="20"/>
              </w:rPr>
              <w:t>典型交付物</w:t>
            </w:r>
          </w:p>
        </w:tc>
      </w:tr>
      <w:tr>
        <w:tc>
          <w:tcPr>
            <w:tcW w:type="dxa" w:w="3135"/>
          </w:tcPr>
          <w:p>
            <w:pPr>
              <w:spacing w:line="336" w:lineRule="auto"/>
            </w:pPr>
            <w:r/>
            <w:r>
              <w:rPr>
                <w:rFonts w:ascii="Microsoft YaHei" w:hAnsi="Microsoft YaHei" w:eastAsia="Microsoft YaHei"/>
                <w:sz w:val="19"/>
              </w:rPr>
              <w:t>第一段 · 咨询服务</w:t>
            </w:r>
          </w:p>
        </w:tc>
        <w:tc>
          <w:tcPr>
            <w:tcW w:type="dxa" w:w="3135"/>
          </w:tcPr>
          <w:p>
            <w:pPr>
              <w:spacing w:line="336" w:lineRule="auto"/>
            </w:pPr>
            <w:r/>
            <w:r>
              <w:rPr>
                <w:rFonts w:ascii="Microsoft YaHei" w:hAnsi="Microsoft YaHei" w:eastAsia="Microsoft YaHei"/>
                <w:sz w:val="19"/>
              </w:rPr>
              <w:t>TPM、精益管理、资产管理体系咨询</w:t>
            </w:r>
          </w:p>
        </w:tc>
        <w:tc>
          <w:tcPr>
            <w:tcW w:type="dxa" w:w="3135"/>
          </w:tcPr>
          <w:p>
            <w:pPr>
              <w:spacing w:line="336" w:lineRule="auto"/>
            </w:pPr>
            <w:r/>
            <w:r>
              <w:rPr>
                <w:rFonts w:ascii="Microsoft YaHei" w:hAnsi="Microsoft YaHei" w:eastAsia="Microsoft YaHei"/>
                <w:sz w:val="19"/>
              </w:rPr>
              <w:t>方法论框架、组织设计、KPI 体系</w:t>
            </w:r>
          </w:p>
        </w:tc>
      </w:tr>
      <w:tr>
        <w:tc>
          <w:tcPr>
            <w:tcW w:type="dxa" w:w="3135"/>
          </w:tcPr>
          <w:p>
            <w:pPr>
              <w:spacing w:line="336" w:lineRule="auto"/>
            </w:pPr>
            <w:r/>
            <w:r>
              <w:rPr>
                <w:rFonts w:ascii="Microsoft YaHei" w:hAnsi="Microsoft YaHei" w:eastAsia="Microsoft YaHei"/>
                <w:sz w:val="19"/>
              </w:rPr>
              <w:t>第二段 · 系统落地</w:t>
            </w:r>
          </w:p>
        </w:tc>
        <w:tc>
          <w:tcPr>
            <w:tcW w:type="dxa" w:w="3135"/>
          </w:tcPr>
          <w:p>
            <w:pPr>
              <w:spacing w:line="336" w:lineRule="auto"/>
            </w:pPr>
            <w:r/>
            <w:r>
              <w:rPr>
                <w:rFonts w:ascii="Microsoft YaHei" w:hAnsi="Microsoft YaHei" w:eastAsia="Microsoft YaHei"/>
                <w:sz w:val="19"/>
              </w:rPr>
              <w:t>EAM（企业资产管理）/ APM（资产绩效管理）系统部署</w:t>
            </w:r>
          </w:p>
        </w:tc>
        <w:tc>
          <w:tcPr>
            <w:tcW w:type="dxa" w:w="3135"/>
          </w:tcPr>
          <w:p>
            <w:pPr>
              <w:spacing w:line="336" w:lineRule="auto"/>
            </w:pPr>
            <w:r/>
            <w:r>
              <w:rPr>
                <w:rFonts w:ascii="Microsoft YaHei" w:hAnsi="Microsoft YaHei" w:eastAsia="Microsoft YaHei"/>
                <w:sz w:val="19"/>
              </w:rPr>
              <w:t>系统配置、流程上线、主数据治理</w:t>
            </w:r>
          </w:p>
        </w:tc>
      </w:tr>
      <w:tr>
        <w:tc>
          <w:tcPr>
            <w:tcW w:type="dxa" w:w="3135"/>
          </w:tcPr>
          <w:p>
            <w:pPr>
              <w:spacing w:line="336" w:lineRule="auto"/>
            </w:pPr>
            <w:r/>
            <w:r>
              <w:rPr>
                <w:rFonts w:ascii="Microsoft YaHei" w:hAnsi="Microsoft YaHei" w:eastAsia="Microsoft YaHei"/>
                <w:sz w:val="19"/>
              </w:rPr>
              <w:t>第三段 · AI 应用（当前重心）</w:t>
            </w:r>
          </w:p>
        </w:tc>
        <w:tc>
          <w:tcPr>
            <w:tcW w:type="dxa" w:w="3135"/>
          </w:tcPr>
          <w:p>
            <w:pPr>
              <w:spacing w:line="336" w:lineRule="auto"/>
            </w:pPr>
            <w:r/>
            <w:r>
              <w:rPr>
                <w:rFonts w:ascii="Microsoft YaHei" w:hAnsi="Microsoft YaHei" w:eastAsia="Microsoft YaHei"/>
                <w:sz w:val="19"/>
              </w:rPr>
              <w:t>基于数据的 AI 智能体应用，包括预测性维护、根因分析、知识沉淀</w:t>
            </w:r>
          </w:p>
        </w:tc>
        <w:tc>
          <w:tcPr>
            <w:tcW w:type="dxa" w:w="3135"/>
          </w:tcPr>
          <w:p>
            <w:pPr>
              <w:spacing w:line="336" w:lineRule="auto"/>
            </w:pPr>
            <w:r/>
            <w:r>
              <w:rPr>
                <w:rFonts w:ascii="Microsoft YaHei" w:hAnsi="Microsoft YaHei" w:eastAsia="Microsoft YaHei"/>
                <w:sz w:val="19"/>
              </w:rPr>
              <w:t>健康监测平台、AI 智能体、知识图谱</w:t>
            </w:r>
          </w:p>
        </w:tc>
      </w:tr>
    </w:tbl>
    <w:p/>
    <w:p>
      <w:pPr>
        <w:pStyle w:val="Heading2"/>
      </w:pPr>
      <w:r>
        <w:rPr>
          <w:rFonts w:ascii="Microsoft YaHei" w:hAnsi="Microsoft YaHei" w:eastAsia="Microsoft YaHei"/>
          <w:color w:val="1E40AF"/>
          <w:sz w:val="26"/>
        </w:rPr>
        <w:t>资产管理三段维护框架</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fill="0F1F3D"/>
          </w:tcPr>
          <w:p>
            <w:r/>
            <w:r>
              <w:rPr>
                <w:rFonts w:ascii="Microsoft YaHei" w:hAnsi="Microsoft YaHei" w:eastAsia="Microsoft YaHei"/>
                <w:b/>
                <w:color w:val="FFFFFF"/>
                <w:sz w:val="20"/>
              </w:rPr>
              <w:t>阶段</w:t>
            </w:r>
          </w:p>
        </w:tc>
        <w:tc>
          <w:tcPr>
            <w:tcW w:type="dxa" w:w="3135"/>
            <w:shd w:val="clear" w:fill="0F1F3D"/>
          </w:tcPr>
          <w:p>
            <w:r/>
            <w:r>
              <w:rPr>
                <w:rFonts w:ascii="Microsoft YaHei" w:hAnsi="Microsoft YaHei" w:eastAsia="Microsoft YaHei"/>
                <w:b/>
                <w:color w:val="FFFFFF"/>
                <w:sz w:val="20"/>
              </w:rPr>
              <w:t>解决的问题</w:t>
            </w:r>
          </w:p>
        </w:tc>
        <w:tc>
          <w:tcPr>
            <w:tcW w:type="dxa" w:w="3135"/>
            <w:shd w:val="clear" w:fill="0F1F3D"/>
          </w:tcPr>
          <w:p>
            <w:r/>
            <w:r>
              <w:rPr>
                <w:rFonts w:ascii="Microsoft YaHei" w:hAnsi="Microsoft YaHei" w:eastAsia="Microsoft YaHei"/>
                <w:b/>
                <w:color w:val="FFFFFF"/>
                <w:sz w:val="20"/>
              </w:rPr>
              <w:t>主要方法</w:t>
            </w:r>
          </w:p>
        </w:tc>
      </w:tr>
      <w:tr>
        <w:tc>
          <w:tcPr>
            <w:tcW w:type="dxa" w:w="3135"/>
          </w:tcPr>
          <w:p>
            <w:pPr>
              <w:spacing w:line="336" w:lineRule="auto"/>
            </w:pPr>
            <w:r/>
            <w:r>
              <w:rPr>
                <w:rFonts w:ascii="Microsoft YaHei" w:hAnsi="Microsoft YaHei" w:eastAsia="Microsoft YaHei"/>
                <w:sz w:val="19"/>
              </w:rPr>
              <w:t>运营前 · 提高可靠性</w:t>
            </w:r>
          </w:p>
        </w:tc>
        <w:tc>
          <w:tcPr>
            <w:tcW w:type="dxa" w:w="3135"/>
          </w:tcPr>
          <w:p>
            <w:pPr>
              <w:spacing w:line="336" w:lineRule="auto"/>
            </w:pPr>
            <w:r/>
            <w:r>
              <w:rPr>
                <w:rFonts w:ascii="Microsoft YaHei" w:hAnsi="Microsoft YaHei" w:eastAsia="Microsoft YaHei"/>
                <w:sz w:val="19"/>
              </w:rPr>
              <w:t>如何延长两次故障之间的间隔</w:t>
            </w:r>
          </w:p>
        </w:tc>
        <w:tc>
          <w:tcPr>
            <w:tcW w:type="dxa" w:w="3135"/>
          </w:tcPr>
          <w:p>
            <w:pPr>
              <w:spacing w:line="336" w:lineRule="auto"/>
            </w:pPr>
            <w:r/>
            <w:r>
              <w:rPr>
                <w:rFonts w:ascii="Microsoft YaHei" w:hAnsi="Microsoft YaHei" w:eastAsia="Microsoft YaHei"/>
                <w:sz w:val="19"/>
              </w:rPr>
              <w:t>可靠性建模、故障树 / 失效模式分析、在线异常检测、预测性维护</w:t>
            </w:r>
          </w:p>
        </w:tc>
      </w:tr>
      <w:tr>
        <w:tc>
          <w:tcPr>
            <w:tcW w:type="dxa" w:w="3135"/>
          </w:tcPr>
          <w:p>
            <w:pPr>
              <w:spacing w:line="336" w:lineRule="auto"/>
            </w:pPr>
            <w:r/>
            <w:r>
              <w:rPr>
                <w:rFonts w:ascii="Microsoft YaHei" w:hAnsi="Microsoft YaHei" w:eastAsia="Microsoft YaHei"/>
                <w:sz w:val="19"/>
              </w:rPr>
              <w:t>运维中 · 缩短修复时间</w:t>
            </w:r>
          </w:p>
        </w:tc>
        <w:tc>
          <w:tcPr>
            <w:tcW w:type="dxa" w:w="3135"/>
          </w:tcPr>
          <w:p>
            <w:pPr>
              <w:spacing w:line="336" w:lineRule="auto"/>
            </w:pPr>
            <w:r/>
            <w:r>
              <w:rPr>
                <w:rFonts w:ascii="Microsoft YaHei" w:hAnsi="Microsoft YaHei" w:eastAsia="Microsoft YaHei"/>
                <w:sz w:val="19"/>
              </w:rPr>
              <w:t>故障已发生，如何快速修复</w:t>
            </w:r>
          </w:p>
        </w:tc>
        <w:tc>
          <w:tcPr>
            <w:tcW w:type="dxa" w:w="3135"/>
          </w:tcPr>
          <w:p>
            <w:pPr>
              <w:spacing w:line="336" w:lineRule="auto"/>
            </w:pPr>
            <w:r/>
            <w:r>
              <w:rPr>
                <w:rFonts w:ascii="Microsoft YaHei" w:hAnsi="Microsoft YaHei" w:eastAsia="Microsoft YaHei"/>
                <w:sz w:val="19"/>
              </w:rPr>
              <w:t>历史维修记录聚类、维修助手按手册引导逐步处置</w:t>
            </w:r>
          </w:p>
        </w:tc>
      </w:tr>
      <w:tr>
        <w:tc>
          <w:tcPr>
            <w:tcW w:type="dxa" w:w="3135"/>
          </w:tcPr>
          <w:p>
            <w:pPr>
              <w:spacing w:line="336" w:lineRule="auto"/>
            </w:pPr>
            <w:r/>
            <w:r>
              <w:rPr>
                <w:rFonts w:ascii="Microsoft YaHei" w:hAnsi="Microsoft YaHei" w:eastAsia="Microsoft YaHei"/>
                <w:sz w:val="19"/>
              </w:rPr>
              <w:t>长期 · 备件优化</w:t>
            </w:r>
          </w:p>
        </w:tc>
        <w:tc>
          <w:tcPr>
            <w:tcW w:type="dxa" w:w="3135"/>
          </w:tcPr>
          <w:p>
            <w:pPr>
              <w:spacing w:line="336" w:lineRule="auto"/>
            </w:pPr>
            <w:r/>
            <w:r>
              <w:rPr>
                <w:rFonts w:ascii="Microsoft YaHei" w:hAnsi="Microsoft YaHei" w:eastAsia="Microsoft YaHei"/>
                <w:sz w:val="19"/>
              </w:rPr>
              <w:t>备件备多少、何时补</w:t>
            </w:r>
          </w:p>
        </w:tc>
        <w:tc>
          <w:tcPr>
            <w:tcW w:type="dxa" w:w="3135"/>
          </w:tcPr>
          <w:p>
            <w:pPr>
              <w:spacing w:line="336" w:lineRule="auto"/>
            </w:pPr>
            <w:r/>
            <w:r>
              <w:rPr>
                <w:rFonts w:ascii="Microsoft YaHei" w:hAnsi="Microsoft YaHei" w:eastAsia="Microsoft YaHei"/>
                <w:sz w:val="19"/>
              </w:rPr>
              <w:t>备件分类、需求预测、库存仿真优化、预警机制</w:t>
            </w:r>
          </w:p>
        </w:tc>
      </w:tr>
    </w:tbl>
    <w:p>
      <w:r>
        <w:br w:type="page"/>
      </w:r>
    </w:p>
    <w:p>
      <w:pPr>
        <w:pStyle w:val="Heading1"/>
      </w:pPr>
      <w:r>
        <w:rPr>
          <w:rFonts w:ascii="Microsoft YaHei" w:hAnsi="Microsoft YaHei" w:eastAsia="Microsoft YaHei"/>
          <w:color w:val="0F1F3D"/>
          <w:sz w:val="34"/>
        </w:rPr>
        <w:t>PART 02 · 典型案例</w:t>
      </w:r>
    </w:p>
    <w:p>
      <w:pPr>
        <w:spacing w:after="120" w:line="360" w:lineRule="auto"/>
      </w:pPr>
      <w:r>
        <w:rPr>
          <w:rFonts w:ascii="Microsoft YaHei" w:hAnsi="Microsoft YaHei" w:eastAsia="Microsoft YaHei"/>
          <w:b/>
          <w:i w:val="0"/>
          <w:color w:val="FF7E3D"/>
          <w:sz w:val="23"/>
        </w:rPr>
        <w:t>"5 智能体协作 + 端到端闭环"在某纸机生产线的落地实践。</w:t>
      </w:r>
    </w:p>
    <w:p>
      <w:pPr>
        <w:spacing w:after="120" w:line="360" w:lineRule="auto"/>
      </w:pPr>
      <w:r>
        <w:rPr>
          <w:rFonts w:ascii="Microsoft YaHei" w:hAnsi="Microsoft YaHei" w:eastAsia="Microsoft YaHei"/>
          <w:b w:val="0"/>
          <w:i w:val="0"/>
          <w:sz w:val="22"/>
        </w:rPr>
        <w:t>本案例为埃森哲在某纸机生产线的实际项目，展示了从"孤立 AI 工具"演进到"本体驱动的工厂运营模式"的完整路径。核心思路为多个 AI 智能体协作、围绕业务事件构建端到端闭环，而非单点 AI 部署。</w:t>
      </w:r>
    </w:p>
    <w:p>
      <w:pPr>
        <w:pStyle w:val="Heading2"/>
      </w:pPr>
      <w:r>
        <w:rPr>
          <w:rFonts w:ascii="Microsoft YaHei" w:hAnsi="Microsoft YaHei" w:eastAsia="Microsoft YaHei"/>
          <w:color w:val="1E40AF"/>
          <w:sz w:val="26"/>
        </w:rPr>
        <w:t>5 个 AI 智能体的角色分工</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fill="0F1F3D"/>
          </w:tcPr>
          <w:p>
            <w:r/>
            <w:r>
              <w:rPr>
                <w:rFonts w:ascii="Microsoft YaHei" w:hAnsi="Microsoft YaHei" w:eastAsia="Microsoft YaHei"/>
                <w:b/>
                <w:color w:val="FFFFFF"/>
                <w:sz w:val="20"/>
              </w:rPr>
              <w:t>智能体</w:t>
            </w:r>
          </w:p>
        </w:tc>
        <w:tc>
          <w:tcPr>
            <w:tcW w:type="dxa" w:w="3135"/>
            <w:shd w:val="clear" w:fill="0F1F3D"/>
          </w:tcPr>
          <w:p>
            <w:r/>
            <w:r>
              <w:rPr>
                <w:rFonts w:ascii="Microsoft YaHei" w:hAnsi="Microsoft YaHei" w:eastAsia="Microsoft YaHei"/>
                <w:b/>
                <w:color w:val="FFFFFF"/>
                <w:sz w:val="20"/>
              </w:rPr>
              <w:t>所属团队</w:t>
            </w:r>
          </w:p>
        </w:tc>
        <w:tc>
          <w:tcPr>
            <w:tcW w:type="dxa" w:w="3135"/>
            <w:shd w:val="clear" w:fill="0F1F3D"/>
          </w:tcPr>
          <w:p>
            <w:r/>
            <w:r>
              <w:rPr>
                <w:rFonts w:ascii="Microsoft YaHei" w:hAnsi="Microsoft YaHei" w:eastAsia="Microsoft YaHei"/>
                <w:b/>
                <w:color w:val="FFFFFF"/>
                <w:sz w:val="20"/>
              </w:rPr>
              <w:t>主要职责</w:t>
            </w:r>
          </w:p>
        </w:tc>
      </w:tr>
      <w:tr>
        <w:tc>
          <w:tcPr>
            <w:tcW w:type="dxa" w:w="3135"/>
          </w:tcPr>
          <w:p>
            <w:pPr>
              <w:spacing w:line="336" w:lineRule="auto"/>
            </w:pPr>
            <w:r/>
            <w:r>
              <w:rPr>
                <w:rFonts w:ascii="Microsoft YaHei" w:hAnsi="Microsoft YaHei" w:eastAsia="Microsoft YaHei"/>
                <w:sz w:val="19"/>
              </w:rPr>
              <w:t>客户投诉调查智能体</w:t>
            </w:r>
          </w:p>
        </w:tc>
        <w:tc>
          <w:tcPr>
            <w:tcW w:type="dxa" w:w="3135"/>
          </w:tcPr>
          <w:p>
            <w:pPr>
              <w:spacing w:line="336" w:lineRule="auto"/>
            </w:pPr>
            <w:r/>
            <w:r>
              <w:rPr>
                <w:rFonts w:ascii="Microsoft YaHei" w:hAnsi="Microsoft YaHei" w:eastAsia="Microsoft YaHei"/>
                <w:sz w:val="19"/>
              </w:rPr>
              <w:t>质量</w:t>
            </w:r>
          </w:p>
        </w:tc>
        <w:tc>
          <w:tcPr>
            <w:tcW w:type="dxa" w:w="3135"/>
          </w:tcPr>
          <w:p>
            <w:pPr>
              <w:spacing w:line="336" w:lineRule="auto"/>
            </w:pPr>
            <w:r/>
            <w:r>
              <w:rPr>
                <w:rFonts w:ascii="Microsoft YaHei" w:hAnsi="Microsoft YaHei" w:eastAsia="Microsoft YaHei"/>
                <w:sz w:val="19"/>
              </w:rPr>
              <w:t>核查投诉真实性、收集产品记录、定位设备问题或物料问题</w:t>
            </w:r>
          </w:p>
        </w:tc>
      </w:tr>
      <w:tr>
        <w:tc>
          <w:tcPr>
            <w:tcW w:type="dxa" w:w="3135"/>
          </w:tcPr>
          <w:p>
            <w:pPr>
              <w:spacing w:line="336" w:lineRule="auto"/>
            </w:pPr>
            <w:r/>
            <w:r>
              <w:rPr>
                <w:rFonts w:ascii="Microsoft YaHei" w:hAnsi="Microsoft YaHei" w:eastAsia="Microsoft YaHei"/>
                <w:sz w:val="19"/>
              </w:rPr>
              <w:t>持续改进智能体</w:t>
            </w:r>
          </w:p>
        </w:tc>
        <w:tc>
          <w:tcPr>
            <w:tcW w:type="dxa" w:w="3135"/>
          </w:tcPr>
          <w:p>
            <w:pPr>
              <w:spacing w:line="336" w:lineRule="auto"/>
            </w:pPr>
            <w:r/>
            <w:r>
              <w:rPr>
                <w:rFonts w:ascii="Microsoft YaHei" w:hAnsi="Microsoft YaHei" w:eastAsia="Microsoft YaHei"/>
                <w:sz w:val="19"/>
              </w:rPr>
              <w:t>生产</w:t>
            </w:r>
          </w:p>
        </w:tc>
        <w:tc>
          <w:tcPr>
            <w:tcW w:type="dxa" w:w="3135"/>
          </w:tcPr>
          <w:p>
            <w:pPr>
              <w:spacing w:line="336" w:lineRule="auto"/>
            </w:pPr>
            <w:r/>
            <w:r>
              <w:rPr>
                <w:rFonts w:ascii="Microsoft YaHei" w:hAnsi="Microsoft YaHei" w:eastAsia="Microsoft YaHei"/>
                <w:sz w:val="19"/>
              </w:rPr>
              <w:t>沉淀根因分析结论，反馈到流程改进，避免同类问题反复</w:t>
            </w:r>
          </w:p>
        </w:tc>
      </w:tr>
      <w:tr>
        <w:tc>
          <w:tcPr>
            <w:tcW w:type="dxa" w:w="3135"/>
          </w:tcPr>
          <w:p>
            <w:pPr>
              <w:spacing w:line="336" w:lineRule="auto"/>
            </w:pPr>
            <w:r/>
            <w:r>
              <w:rPr>
                <w:rFonts w:ascii="Microsoft YaHei" w:hAnsi="Microsoft YaHei" w:eastAsia="Microsoft YaHei"/>
                <w:sz w:val="19"/>
              </w:rPr>
              <w:t>关键资产管理智能体</w:t>
            </w:r>
          </w:p>
        </w:tc>
        <w:tc>
          <w:tcPr>
            <w:tcW w:type="dxa" w:w="3135"/>
          </w:tcPr>
          <w:p>
            <w:pPr>
              <w:spacing w:line="336" w:lineRule="auto"/>
            </w:pPr>
            <w:r/>
            <w:r>
              <w:rPr>
                <w:rFonts w:ascii="Microsoft YaHei" w:hAnsi="Microsoft YaHei" w:eastAsia="Microsoft YaHei"/>
                <w:sz w:val="19"/>
              </w:rPr>
              <w:t>资产</w:t>
            </w:r>
          </w:p>
        </w:tc>
        <w:tc>
          <w:tcPr>
            <w:tcW w:type="dxa" w:w="3135"/>
          </w:tcPr>
          <w:p>
            <w:pPr>
              <w:spacing w:line="336" w:lineRule="auto"/>
            </w:pPr>
            <w:r/>
            <w:r>
              <w:rPr>
                <w:rFonts w:ascii="Microsoft YaHei" w:hAnsi="Microsoft YaHei" w:eastAsia="Microsoft YaHei"/>
                <w:sz w:val="19"/>
              </w:rPr>
              <w:t>关键设备 24×7 在线监控、早期异常识别、故障趋势分析</w:t>
            </w:r>
          </w:p>
        </w:tc>
      </w:tr>
      <w:tr>
        <w:tc>
          <w:tcPr>
            <w:tcW w:type="dxa" w:w="3135"/>
          </w:tcPr>
          <w:p>
            <w:pPr>
              <w:spacing w:line="336" w:lineRule="auto"/>
            </w:pPr>
            <w:r/>
            <w:r>
              <w:rPr>
                <w:rFonts w:ascii="Microsoft YaHei" w:hAnsi="Microsoft YaHei" w:eastAsia="Microsoft YaHei"/>
                <w:sz w:val="19"/>
              </w:rPr>
              <w:t>预测性维护与故障排除智能体</w:t>
            </w:r>
          </w:p>
        </w:tc>
        <w:tc>
          <w:tcPr>
            <w:tcW w:type="dxa" w:w="3135"/>
          </w:tcPr>
          <w:p>
            <w:pPr>
              <w:spacing w:line="336" w:lineRule="auto"/>
            </w:pPr>
            <w:r/>
            <w:r>
              <w:rPr>
                <w:rFonts w:ascii="Microsoft YaHei" w:hAnsi="Microsoft YaHei" w:eastAsia="Microsoft YaHei"/>
                <w:sz w:val="19"/>
              </w:rPr>
              <w:t>资产</w:t>
            </w:r>
          </w:p>
        </w:tc>
        <w:tc>
          <w:tcPr>
            <w:tcW w:type="dxa" w:w="3135"/>
          </w:tcPr>
          <w:p>
            <w:pPr>
              <w:spacing w:line="336" w:lineRule="auto"/>
            </w:pPr>
            <w:r/>
            <w:r>
              <w:rPr>
                <w:rFonts w:ascii="Microsoft YaHei" w:hAnsi="Microsoft YaHei" w:eastAsia="Microsoft YaHei"/>
                <w:sz w:val="19"/>
              </w:rPr>
              <w:t>本次议题核心相关 · 一般设备的预测性运维 + 故障排查</w:t>
            </w:r>
          </w:p>
        </w:tc>
      </w:tr>
      <w:tr>
        <w:tc>
          <w:tcPr>
            <w:tcW w:type="dxa" w:w="3135"/>
          </w:tcPr>
          <w:p>
            <w:pPr>
              <w:spacing w:line="336" w:lineRule="auto"/>
            </w:pPr>
            <w:r/>
            <w:r>
              <w:rPr>
                <w:rFonts w:ascii="Microsoft YaHei" w:hAnsi="Microsoft YaHei" w:eastAsia="Microsoft YaHei"/>
                <w:sz w:val="19"/>
              </w:rPr>
              <w:t>智能运营助手智能体</w:t>
            </w:r>
          </w:p>
        </w:tc>
        <w:tc>
          <w:tcPr>
            <w:tcW w:type="dxa" w:w="3135"/>
          </w:tcPr>
          <w:p>
            <w:pPr>
              <w:spacing w:line="336" w:lineRule="auto"/>
            </w:pPr>
            <w:r/>
            <w:r>
              <w:rPr>
                <w:rFonts w:ascii="Microsoft YaHei" w:hAnsi="Microsoft YaHei" w:eastAsia="Microsoft YaHei"/>
                <w:sz w:val="19"/>
              </w:rPr>
              <w:t>维护执行</w:t>
            </w:r>
          </w:p>
        </w:tc>
        <w:tc>
          <w:tcPr>
            <w:tcW w:type="dxa" w:w="3135"/>
          </w:tcPr>
          <w:p>
            <w:pPr>
              <w:spacing w:line="336" w:lineRule="auto"/>
            </w:pPr>
            <w:r/>
            <w:r>
              <w:rPr>
                <w:rFonts w:ascii="Microsoft YaHei" w:hAnsi="Microsoft YaHei" w:eastAsia="Microsoft YaHei"/>
                <w:sz w:val="19"/>
              </w:rPr>
              <w:t>协调全厂资源、查找文档 / SOP、生成维修报告、知识沉淀</w:t>
            </w:r>
          </w:p>
        </w:tc>
      </w:tr>
    </w:tbl>
    <w:p/>
    <w:p>
      <w:pPr>
        <w:pStyle w:val="Heading2"/>
      </w:pPr>
      <w:r>
        <w:rPr>
          <w:rFonts w:ascii="Microsoft YaHei" w:hAnsi="Microsoft YaHei" w:eastAsia="Microsoft YaHei"/>
          <w:color w:val="1E40AF"/>
          <w:sz w:val="26"/>
        </w:rPr>
        <w:t>端到端闭环的量化结果</w:t>
      </w:r>
    </w:p>
    <w:p>
      <w:pPr>
        <w:pStyle w:val="ListBullet"/>
        <w:spacing w:after="60" w:line="336" w:lineRule="auto"/>
        <w:ind w:left="340"/>
      </w:pPr>
      <w:r>
        <w:rPr>
          <w:rFonts w:ascii="Microsoft YaHei" w:hAnsi="Microsoft YaHei" w:eastAsia="Microsoft YaHei"/>
          <w:sz w:val="20"/>
        </w:rPr>
        <w:t>客户投诉解决周期：7 天 → 1 天</w:t>
      </w:r>
    </w:p>
    <w:p>
      <w:pPr>
        <w:pStyle w:val="ListBullet"/>
        <w:spacing w:after="60" w:line="336" w:lineRule="auto"/>
        <w:ind w:left="340"/>
      </w:pPr>
      <w:r>
        <w:rPr>
          <w:rFonts w:ascii="Microsoft YaHei" w:hAnsi="Microsoft YaHei" w:eastAsia="Microsoft YaHei"/>
          <w:sz w:val="20"/>
        </w:rPr>
        <w:t>根因分析与证据收集：分钟级</w:t>
      </w:r>
    </w:p>
    <w:p>
      <w:pPr>
        <w:pStyle w:val="ListBullet"/>
        <w:spacing w:after="60" w:line="336" w:lineRule="auto"/>
        <w:ind w:left="340"/>
      </w:pPr>
      <w:r>
        <w:rPr>
          <w:rFonts w:ascii="Microsoft YaHei" w:hAnsi="Microsoft YaHei" w:eastAsia="Microsoft YaHei"/>
          <w:sz w:val="20"/>
        </w:rPr>
        <w:t>监控覆盖：24×7 在线、异常实时识别</w:t>
      </w:r>
    </w:p>
    <w:p>
      <w:pPr>
        <w:pStyle w:val="Heading2"/>
      </w:pPr>
      <w:r>
        <w:rPr>
          <w:rFonts w:ascii="Microsoft YaHei" w:hAnsi="Microsoft YaHei" w:eastAsia="Microsoft YaHei"/>
          <w:color w:val="1E40AF"/>
          <w:sz w:val="26"/>
        </w:rPr>
        <w:t>方案的技术架构特征</w:t>
      </w:r>
    </w:p>
    <w:p>
      <w:pPr>
        <w:pStyle w:val="ListBullet"/>
        <w:spacing w:after="60" w:line="336" w:lineRule="auto"/>
        <w:ind w:left="340"/>
      </w:pPr>
      <w:r>
        <w:rPr>
          <w:rFonts w:ascii="Microsoft YaHei" w:hAnsi="Microsoft YaHei" w:eastAsia="Microsoft YaHei"/>
          <w:sz w:val="20"/>
        </w:rPr>
        <w:t>统一入口：移动端、邮件、企业 IM、传感器告警、工单系统通过同一入口接入 AI 路由中心</w:t>
      </w:r>
    </w:p>
    <w:p>
      <w:pPr>
        <w:pStyle w:val="ListBullet"/>
        <w:spacing w:after="60" w:line="336" w:lineRule="auto"/>
        <w:ind w:left="340"/>
      </w:pPr>
      <w:r>
        <w:rPr>
          <w:rFonts w:ascii="Microsoft YaHei" w:hAnsi="Microsoft YaHei" w:eastAsia="Microsoft YaHei"/>
          <w:sz w:val="20"/>
        </w:rPr>
        <w:t>本体驱动：建立工厂运营本体（Ontology），将"产品 / 工艺参数 / 设备 / SOP / 报警 / 维护动作"结构化为 AI 可读的语义层</w:t>
      </w:r>
    </w:p>
    <w:p>
      <w:pPr>
        <w:pStyle w:val="ListBullet"/>
        <w:spacing w:after="60" w:line="336" w:lineRule="auto"/>
        <w:ind w:left="340"/>
      </w:pPr>
      <w:r>
        <w:rPr>
          <w:rFonts w:ascii="Microsoft YaHei" w:hAnsi="Microsoft YaHei" w:eastAsia="Microsoft YaHei"/>
          <w:sz w:val="20"/>
        </w:rPr>
        <w:t>健康分 + 知识图谱：健康分（0-100）实现量化预警，知识图谱实现根因解释与处置建议</w:t>
      </w:r>
    </w:p>
    <w:p>
      <w:pPr>
        <w:pStyle w:val="ListBullet"/>
        <w:spacing w:after="60" w:line="336" w:lineRule="auto"/>
        <w:ind w:left="340"/>
      </w:pPr>
      <w:r>
        <w:rPr>
          <w:rFonts w:ascii="Microsoft YaHei" w:hAnsi="Microsoft YaHei" w:eastAsia="Microsoft YaHei"/>
          <w:sz w:val="20"/>
        </w:rPr>
        <w:t>人机协同：所有 AI 结论保留人工核查环节，最终决策与签字由人完成</w:t>
      </w:r>
    </w:p>
    <w:p>
      <w:pPr>
        <w:pStyle w:val="ListBullet"/>
        <w:spacing w:after="60" w:line="336" w:lineRule="auto"/>
        <w:ind w:left="340"/>
      </w:pPr>
      <w:r>
        <w:rPr>
          <w:rFonts w:ascii="Microsoft YaHei" w:hAnsi="Microsoft YaHei" w:eastAsia="Microsoft YaHei"/>
          <w:sz w:val="20"/>
        </w:rPr>
        <w:t>知识迭代：每个事件的处置结果反馈回知识库，AI 推理能力持续优化</w:t>
      </w:r>
    </w:p>
    <w:p>
      <w:pPr>
        <w:pStyle w:val="Heading2"/>
      </w:pPr>
      <w:r>
        <w:rPr>
          <w:rFonts w:ascii="Microsoft YaHei" w:hAnsi="Microsoft YaHei" w:eastAsia="Microsoft YaHei"/>
          <w:color w:val="1E40AF"/>
          <w:sz w:val="26"/>
        </w:rPr>
        <w:t>行业经验区间</w:t>
      </w:r>
    </w:p>
    <w:tbl>
      <w:tblPr>
        <w:tblStyle w:val="LightGrid-Accent1"/>
        <w:tblW w:type="auto" w:w="0"/>
        <w:tblLook w:firstColumn="1" w:firstRow="1" w:lastColumn="0" w:lastRow="0" w:noHBand="0" w:noVBand="1" w:val="04A0"/>
      </w:tblPr>
      <w:tblGrid>
        <w:gridCol w:w="4703"/>
        <w:gridCol w:w="4703"/>
      </w:tblGrid>
      <w:tr>
        <w:tc>
          <w:tcPr>
            <w:tcW w:type="dxa" w:w="4703"/>
            <w:shd w:val="clear" w:fill="0F1F3D"/>
          </w:tcPr>
          <w:p>
            <w:r/>
            <w:r>
              <w:rPr>
                <w:rFonts w:ascii="Microsoft YaHei" w:hAnsi="Microsoft YaHei" w:eastAsia="Microsoft YaHei"/>
                <w:b/>
                <w:color w:val="FFFFFF"/>
                <w:sz w:val="20"/>
              </w:rPr>
              <w:t>维度</w:t>
            </w:r>
          </w:p>
        </w:tc>
        <w:tc>
          <w:tcPr>
            <w:tcW w:type="dxa" w:w="4703"/>
            <w:shd w:val="clear" w:fill="0F1F3D"/>
          </w:tcPr>
          <w:p>
            <w:r/>
            <w:r>
              <w:rPr>
                <w:rFonts w:ascii="Microsoft YaHei" w:hAnsi="Microsoft YaHei" w:eastAsia="Microsoft YaHei"/>
                <w:b/>
                <w:color w:val="FFFFFF"/>
                <w:sz w:val="20"/>
              </w:rPr>
              <w:t>提升空间</w:t>
            </w:r>
          </w:p>
        </w:tc>
      </w:tr>
      <w:tr>
        <w:tc>
          <w:tcPr>
            <w:tcW w:type="dxa" w:w="4703"/>
          </w:tcPr>
          <w:p>
            <w:pPr>
              <w:spacing w:line="336" w:lineRule="auto"/>
            </w:pPr>
            <w:r/>
            <w:r>
              <w:rPr>
                <w:rFonts w:ascii="Microsoft YaHei" w:hAnsi="Microsoft YaHei" w:eastAsia="Microsoft YaHei"/>
                <w:sz w:val="19"/>
              </w:rPr>
              <w:t>设备可靠性（运营前）</w:t>
            </w:r>
          </w:p>
        </w:tc>
        <w:tc>
          <w:tcPr>
            <w:tcW w:type="dxa" w:w="4703"/>
          </w:tcPr>
          <w:p>
            <w:pPr>
              <w:spacing w:line="336" w:lineRule="auto"/>
            </w:pPr>
            <w:r/>
            <w:r>
              <w:rPr>
                <w:rFonts w:ascii="Microsoft YaHei" w:hAnsi="Microsoft YaHei" w:eastAsia="Microsoft YaHei"/>
                <w:sz w:val="19"/>
              </w:rPr>
              <w:t>技术人员现场访问 ↓10-15% · 整体生产力 ↑15-25% · 后台沟通 ↓30-75%</w:t>
            </w:r>
          </w:p>
        </w:tc>
      </w:tr>
      <w:tr>
        <w:tc>
          <w:tcPr>
            <w:tcW w:type="dxa" w:w="4703"/>
          </w:tcPr>
          <w:p>
            <w:pPr>
              <w:spacing w:line="336" w:lineRule="auto"/>
            </w:pPr>
            <w:r/>
            <w:r>
              <w:rPr>
                <w:rFonts w:ascii="Microsoft YaHei" w:hAnsi="Microsoft YaHei" w:eastAsia="Microsoft YaHei"/>
                <w:sz w:val="19"/>
              </w:rPr>
              <w:t>修复效率（运维中）</w:t>
            </w:r>
          </w:p>
        </w:tc>
        <w:tc>
          <w:tcPr>
            <w:tcW w:type="dxa" w:w="4703"/>
          </w:tcPr>
          <w:p>
            <w:pPr>
              <w:spacing w:line="336" w:lineRule="auto"/>
            </w:pPr>
            <w:r/>
            <w:r>
              <w:rPr>
                <w:rFonts w:ascii="Microsoft YaHei" w:hAnsi="Microsoft YaHei" w:eastAsia="Microsoft YaHei"/>
                <w:sz w:val="19"/>
              </w:rPr>
              <w:t>首次维修成功率 ↑10-20% · 准确修复率 ↑20-25% · 重复经验共享 ↑30% 以上</w:t>
            </w:r>
          </w:p>
        </w:tc>
      </w:tr>
      <w:tr>
        <w:tc>
          <w:tcPr>
            <w:tcW w:type="dxa" w:w="4703"/>
          </w:tcPr>
          <w:p>
            <w:pPr>
              <w:spacing w:line="336" w:lineRule="auto"/>
            </w:pPr>
            <w:r/>
            <w:r>
              <w:rPr>
                <w:rFonts w:ascii="Microsoft YaHei" w:hAnsi="Microsoft YaHei" w:eastAsia="Microsoft YaHei"/>
                <w:sz w:val="19"/>
              </w:rPr>
              <w:t>备件管理（长期）</w:t>
            </w:r>
          </w:p>
        </w:tc>
        <w:tc>
          <w:tcPr>
            <w:tcW w:type="dxa" w:w="4703"/>
          </w:tcPr>
          <w:p>
            <w:pPr>
              <w:spacing w:line="336" w:lineRule="auto"/>
            </w:pPr>
            <w:r/>
            <w:r>
              <w:rPr>
                <w:rFonts w:ascii="Microsoft YaHei" w:hAnsi="Microsoft YaHei" w:eastAsia="Microsoft YaHei"/>
                <w:sz w:val="19"/>
              </w:rPr>
              <w:t>预测准确度 ↑10-30% · 库存 ↓5-15% · 补货时机精度 ↑10-20%</w:t>
            </w:r>
          </w:p>
        </w:tc>
      </w:tr>
    </w:tbl>
    <w:p/>
    <w:p>
      <w:pPr>
        <w:spacing w:after="120" w:line="360" w:lineRule="auto"/>
      </w:pPr>
      <w:r>
        <w:rPr>
          <w:rFonts w:ascii="Microsoft YaHei" w:hAnsi="Microsoft YaHei" w:eastAsia="Microsoft YaHei"/>
          <w:b w:val="0"/>
          <w:i/>
          <w:color w:val="5B6A8A"/>
          <w:sz w:val="19"/>
        </w:rPr>
        <w:t>以上为跨行业、跨规模项目的经验区间，不构成对凯莱英 PdM 项目的承诺。实际效果取决于起点条件与落地深度。</w:t>
      </w:r>
    </w:p>
    <w:p>
      <w:r>
        <w:br w:type="page"/>
      </w:r>
    </w:p>
    <w:p>
      <w:pPr>
        <w:pStyle w:val="Heading1"/>
      </w:pPr>
      <w:r>
        <w:rPr>
          <w:rFonts w:ascii="Microsoft YaHei" w:hAnsi="Microsoft YaHei" w:eastAsia="Microsoft YaHei"/>
          <w:color w:val="0F1F3D"/>
          <w:sz w:val="34"/>
        </w:rPr>
        <w:t>PART 03 · 设备预测性维护的开展思路</w:t>
      </w:r>
    </w:p>
    <w:p>
      <w:pPr>
        <w:spacing w:after="120" w:line="360" w:lineRule="auto"/>
      </w:pPr>
      <w:r>
        <w:rPr>
          <w:rFonts w:ascii="Microsoft YaHei" w:hAnsi="Microsoft YaHei" w:eastAsia="Microsoft YaHei"/>
          <w:b/>
          <w:i w:val="0"/>
          <w:sz w:val="23"/>
        </w:rPr>
        <w:t>项目可行性取决于"数据 + 先验 + 故障样本"三要素。预测性维护不是所有设备、所有场景都适合开展。</w:t>
      </w:r>
    </w:p>
    <w:p>
      <w:pPr>
        <w:spacing w:after="120" w:line="360" w:lineRule="auto"/>
      </w:pPr>
      <w:r>
        <w:rPr>
          <w:rFonts w:ascii="Microsoft YaHei" w:hAnsi="Microsoft YaHei" w:eastAsia="Microsoft YaHei"/>
          <w:b w:val="0"/>
          <w:i w:val="0"/>
          <w:sz w:val="22"/>
        </w:rPr>
        <w:t>能否落地，取决于数据基础、先验知识、故障样本三要素的成熟度。埃森哲在判断 PdM 项目可行性时使用一套相对成熟的方法 —— 围绕 4 个维度判断，并对不同数据基础给出不同的解题路径。</w:t>
      </w:r>
    </w:p>
    <w:p>
      <w:pPr>
        <w:pStyle w:val="Heading2"/>
      </w:pPr>
      <w:r>
        <w:rPr>
          <w:rFonts w:ascii="Microsoft YaHei" w:hAnsi="Microsoft YaHei" w:eastAsia="Microsoft YaHei"/>
          <w:color w:val="1E40AF"/>
          <w:sz w:val="26"/>
        </w:rPr>
        <w:t>3.1 项目可行性的 4 个判断维度</w:t>
      </w:r>
    </w:p>
    <w:tbl>
      <w:tblPr>
        <w:tblStyle w:val="LightGrid-Accent1"/>
        <w:tblW w:type="auto" w:w="0"/>
        <w:tblLook w:firstColumn="1" w:firstRow="1" w:lastColumn="0" w:lastRow="0" w:noHBand="0" w:noVBand="1" w:val="04A0"/>
      </w:tblPr>
      <w:tblGrid>
        <w:gridCol w:w="4703"/>
        <w:gridCol w:w="4703"/>
      </w:tblGrid>
      <w:tr>
        <w:tc>
          <w:tcPr>
            <w:tcW w:type="dxa" w:w="4703"/>
            <w:shd w:val="clear" w:fill="0F1F3D"/>
          </w:tcPr>
          <w:p>
            <w:r/>
            <w:r>
              <w:rPr>
                <w:rFonts w:ascii="Microsoft YaHei" w:hAnsi="Microsoft YaHei" w:eastAsia="Microsoft YaHei"/>
                <w:b/>
                <w:color w:val="FFFFFF"/>
                <w:sz w:val="20"/>
              </w:rPr>
              <w:t>维度</w:t>
            </w:r>
          </w:p>
        </w:tc>
        <w:tc>
          <w:tcPr>
            <w:tcW w:type="dxa" w:w="4703"/>
            <w:shd w:val="clear" w:fill="0F1F3D"/>
          </w:tcPr>
          <w:p>
            <w:r/>
            <w:r>
              <w:rPr>
                <w:rFonts w:ascii="Microsoft YaHei" w:hAnsi="Microsoft YaHei" w:eastAsia="Microsoft YaHei"/>
                <w:b/>
                <w:color w:val="FFFFFF"/>
                <w:sz w:val="20"/>
              </w:rPr>
              <w:t>核心问题</w:t>
            </w:r>
          </w:p>
        </w:tc>
      </w:tr>
      <w:tr>
        <w:tc>
          <w:tcPr>
            <w:tcW w:type="dxa" w:w="4703"/>
          </w:tcPr>
          <w:p>
            <w:pPr>
              <w:spacing w:line="336" w:lineRule="auto"/>
            </w:pPr>
            <w:r/>
            <w:r>
              <w:rPr>
                <w:rFonts w:ascii="Microsoft YaHei" w:hAnsi="Microsoft YaHei" w:eastAsia="Microsoft YaHei"/>
                <w:sz w:val="19"/>
              </w:rPr>
              <w:t>① 设备 + 主要问题</w:t>
            </w:r>
          </w:p>
        </w:tc>
        <w:tc>
          <w:tcPr>
            <w:tcW w:type="dxa" w:w="4703"/>
          </w:tcPr>
          <w:p>
            <w:pPr>
              <w:spacing w:line="336" w:lineRule="auto"/>
            </w:pPr>
            <w:r/>
            <w:r>
              <w:rPr>
                <w:rFonts w:ascii="Microsoft YaHei" w:hAnsi="Microsoft YaHei" w:eastAsia="Microsoft YaHei"/>
                <w:sz w:val="19"/>
              </w:rPr>
              <w:t>设备类型、关键作用、主要故障类型、频次、业务损失。按"损失"或"OEE"排序，优先聚焦 Top 5 类故障</w:t>
            </w:r>
          </w:p>
        </w:tc>
      </w:tr>
      <w:tr>
        <w:tc>
          <w:tcPr>
            <w:tcW w:type="dxa" w:w="4703"/>
          </w:tcPr>
          <w:p>
            <w:pPr>
              <w:spacing w:line="336" w:lineRule="auto"/>
            </w:pPr>
            <w:r/>
            <w:r>
              <w:rPr>
                <w:rFonts w:ascii="Microsoft YaHei" w:hAnsi="Microsoft YaHei" w:eastAsia="Microsoft YaHei"/>
                <w:sz w:val="19"/>
              </w:rPr>
              <w:t>② 数据基础</w:t>
            </w:r>
          </w:p>
        </w:tc>
        <w:tc>
          <w:tcPr>
            <w:tcW w:type="dxa" w:w="4703"/>
          </w:tcPr>
          <w:p>
            <w:pPr>
              <w:spacing w:line="336" w:lineRule="auto"/>
            </w:pPr>
            <w:r/>
            <w:r>
              <w:rPr>
                <w:rFonts w:ascii="Microsoft YaHei" w:hAnsi="Microsoft YaHei" w:eastAsia="Microsoft YaHei"/>
                <w:sz w:val="19"/>
              </w:rPr>
              <w:t>已装传感器（振动、温度、电流、压力、流量等）、采集频次、历史归档时长、当前监测手段</w:t>
            </w:r>
          </w:p>
        </w:tc>
      </w:tr>
      <w:tr>
        <w:tc>
          <w:tcPr>
            <w:tcW w:type="dxa" w:w="4703"/>
          </w:tcPr>
          <w:p>
            <w:pPr>
              <w:spacing w:line="336" w:lineRule="auto"/>
            </w:pPr>
            <w:r/>
            <w:r>
              <w:rPr>
                <w:rFonts w:ascii="Microsoft YaHei" w:hAnsi="Microsoft YaHei" w:eastAsia="Microsoft YaHei"/>
                <w:sz w:val="19"/>
              </w:rPr>
              <w:t>③ 先验知识</w:t>
            </w:r>
          </w:p>
        </w:tc>
        <w:tc>
          <w:tcPr>
            <w:tcW w:type="dxa" w:w="4703"/>
          </w:tcPr>
          <w:p>
            <w:pPr>
              <w:spacing w:line="336" w:lineRule="auto"/>
            </w:pPr>
            <w:r/>
            <w:r>
              <w:rPr>
                <w:rFonts w:ascii="Microsoft YaHei" w:hAnsi="Microsoft YaHei" w:eastAsia="Microsoft YaHei"/>
                <w:sz w:val="19"/>
              </w:rPr>
              <w:t>故障与因子的相关性认知、故障类型分类、物理模型、历史 RCA / 偏差报告、已有的 FTA / FMEA 分析</w:t>
            </w:r>
          </w:p>
        </w:tc>
      </w:tr>
      <w:tr>
        <w:tc>
          <w:tcPr>
            <w:tcW w:type="dxa" w:w="4703"/>
          </w:tcPr>
          <w:p>
            <w:pPr>
              <w:spacing w:line="336" w:lineRule="auto"/>
            </w:pPr>
            <w:r/>
            <w:r>
              <w:rPr>
                <w:rFonts w:ascii="Microsoft YaHei" w:hAnsi="Microsoft YaHei" w:eastAsia="Microsoft YaHei"/>
                <w:sz w:val="19"/>
              </w:rPr>
              <w:t>④ 故障样本</w:t>
            </w:r>
          </w:p>
        </w:tc>
        <w:tc>
          <w:tcPr>
            <w:tcW w:type="dxa" w:w="4703"/>
          </w:tcPr>
          <w:p>
            <w:pPr>
              <w:spacing w:line="336" w:lineRule="auto"/>
            </w:pPr>
            <w:r/>
            <w:r>
              <w:rPr>
                <w:rFonts w:ascii="Microsoft YaHei" w:hAnsi="Microsoft YaHei" w:eastAsia="Microsoft YaHei"/>
                <w:sz w:val="19"/>
              </w:rPr>
              <w:t>近 5 年 / 1 年 / 半年故障次数、每次故障的特征数据是否保留。样本过少则建模困难</w:t>
            </w:r>
          </w:p>
        </w:tc>
      </w:tr>
    </w:tbl>
    <w:p/>
    <w:p>
      <w:pPr>
        <w:pStyle w:val="Heading2"/>
      </w:pPr>
      <w:r>
        <w:rPr>
          <w:rFonts w:ascii="Microsoft YaHei" w:hAnsi="Microsoft YaHei" w:eastAsia="Microsoft YaHei"/>
          <w:color w:val="1E40AF"/>
          <w:sz w:val="26"/>
        </w:rPr>
        <w:t>3.2 不同数据基础对应不同走法</w:t>
      </w:r>
    </w:p>
    <w:tbl>
      <w:tblPr>
        <w:tblStyle w:val="LightGrid-Accent1"/>
        <w:tblW w:type="auto" w:w="0"/>
        <w:tblLook w:firstColumn="1" w:firstRow="1" w:lastColumn="0" w:lastRow="0" w:noHBand="0" w:noVBand="1" w:val="04A0"/>
      </w:tblPr>
      <w:tblGrid>
        <w:gridCol w:w="4703"/>
        <w:gridCol w:w="4703"/>
      </w:tblGrid>
      <w:tr>
        <w:tc>
          <w:tcPr>
            <w:tcW w:type="dxa" w:w="4703"/>
            <w:shd w:val="clear" w:fill="0F1F3D"/>
          </w:tcPr>
          <w:p>
            <w:r/>
            <w:r>
              <w:rPr>
                <w:rFonts w:ascii="Microsoft YaHei" w:hAnsi="Microsoft YaHei" w:eastAsia="Microsoft YaHei"/>
                <w:b/>
                <w:color w:val="FFFFFF"/>
                <w:sz w:val="20"/>
              </w:rPr>
              <w:t>数据基础情况</w:t>
            </w:r>
          </w:p>
        </w:tc>
        <w:tc>
          <w:tcPr>
            <w:tcW w:type="dxa" w:w="4703"/>
            <w:shd w:val="clear" w:fill="0F1F3D"/>
          </w:tcPr>
          <w:p>
            <w:r/>
            <w:r>
              <w:rPr>
                <w:rFonts w:ascii="Microsoft YaHei" w:hAnsi="Microsoft YaHei" w:eastAsia="Microsoft YaHei"/>
                <w:b/>
                <w:color w:val="FFFFFF"/>
                <w:sz w:val="20"/>
              </w:rPr>
              <w:t>对应解题路径</w:t>
            </w:r>
          </w:p>
        </w:tc>
      </w:tr>
      <w:tr>
        <w:tc>
          <w:tcPr>
            <w:tcW w:type="dxa" w:w="4703"/>
          </w:tcPr>
          <w:p>
            <w:pPr>
              <w:spacing w:line="336" w:lineRule="auto"/>
            </w:pPr>
            <w:r/>
            <w:r>
              <w:rPr>
                <w:rFonts w:ascii="Microsoft YaHei" w:hAnsi="Microsoft YaHei" w:eastAsia="Microsoft YaHei"/>
                <w:sz w:val="19"/>
              </w:rPr>
              <w:t>有完整历史数据 + 含故障样本</w:t>
            </w:r>
          </w:p>
        </w:tc>
        <w:tc>
          <w:tcPr>
            <w:tcW w:type="dxa" w:w="4703"/>
          </w:tcPr>
          <w:p>
            <w:pPr>
              <w:spacing w:line="336" w:lineRule="auto"/>
            </w:pPr>
            <w:r/>
            <w:r>
              <w:rPr>
                <w:rFonts w:ascii="Microsoft YaHei" w:hAnsi="Microsoft YaHei" w:eastAsia="Microsoft YaHei"/>
                <w:sz w:val="19"/>
              </w:rPr>
              <w:t>直接特征发现 + 多因子回归 + 命中率验证，项目可立即论证</w:t>
            </w:r>
          </w:p>
        </w:tc>
      </w:tr>
      <w:tr>
        <w:tc>
          <w:tcPr>
            <w:tcW w:type="dxa" w:w="4703"/>
          </w:tcPr>
          <w:p>
            <w:pPr>
              <w:spacing w:line="336" w:lineRule="auto"/>
            </w:pPr>
            <w:r/>
            <w:r>
              <w:rPr>
                <w:rFonts w:ascii="Microsoft YaHei" w:hAnsi="Microsoft YaHei" w:eastAsia="Microsoft YaHei"/>
                <w:sz w:val="19"/>
              </w:rPr>
              <w:t>有完整历史数据但故障样本少</w:t>
            </w:r>
          </w:p>
        </w:tc>
        <w:tc>
          <w:tcPr>
            <w:tcW w:type="dxa" w:w="4703"/>
          </w:tcPr>
          <w:p>
            <w:pPr>
              <w:spacing w:line="336" w:lineRule="auto"/>
            </w:pPr>
            <w:r/>
            <w:r>
              <w:rPr>
                <w:rFonts w:ascii="Microsoft YaHei" w:hAnsi="Microsoft YaHei" w:eastAsia="Microsoft YaHei"/>
                <w:sz w:val="19"/>
              </w:rPr>
              <w:t>结合行业前训练模型 + 合成样本扩充，模型方差需控制</w:t>
            </w:r>
          </w:p>
        </w:tc>
      </w:tr>
      <w:tr>
        <w:tc>
          <w:tcPr>
            <w:tcW w:type="dxa" w:w="4703"/>
          </w:tcPr>
          <w:p>
            <w:pPr>
              <w:spacing w:line="336" w:lineRule="auto"/>
            </w:pPr>
            <w:r/>
            <w:r>
              <w:rPr>
                <w:rFonts w:ascii="Microsoft YaHei" w:hAnsi="Microsoft YaHei" w:eastAsia="Microsoft YaHei"/>
                <w:sz w:val="19"/>
              </w:rPr>
              <w:t>有先验经验但无历史数据</w:t>
            </w:r>
          </w:p>
        </w:tc>
        <w:tc>
          <w:tcPr>
            <w:tcW w:type="dxa" w:w="4703"/>
          </w:tcPr>
          <w:p>
            <w:pPr>
              <w:spacing w:line="336" w:lineRule="auto"/>
            </w:pPr>
            <w:r/>
            <w:r>
              <w:rPr>
                <w:rFonts w:ascii="Microsoft YaHei" w:hAnsi="Microsoft YaHei" w:eastAsia="Microsoft YaHei"/>
                <w:sz w:val="19"/>
              </w:rPr>
              <w:t>先装传感器跑 3-6 个月，前期接受"风险共担"</w:t>
            </w:r>
          </w:p>
        </w:tc>
      </w:tr>
      <w:tr>
        <w:tc>
          <w:tcPr>
            <w:tcW w:type="dxa" w:w="4703"/>
          </w:tcPr>
          <w:p>
            <w:pPr>
              <w:spacing w:line="336" w:lineRule="auto"/>
            </w:pPr>
            <w:r/>
            <w:r>
              <w:rPr>
                <w:rFonts w:ascii="Microsoft YaHei" w:hAnsi="Microsoft YaHei" w:eastAsia="Microsoft YaHei"/>
                <w:sz w:val="19"/>
              </w:rPr>
              <w:t>无历史数据且无先验</w:t>
            </w:r>
          </w:p>
        </w:tc>
        <w:tc>
          <w:tcPr>
            <w:tcW w:type="dxa" w:w="4703"/>
          </w:tcPr>
          <w:p>
            <w:pPr>
              <w:spacing w:line="336" w:lineRule="auto"/>
            </w:pPr>
            <w:r/>
            <w:r>
              <w:rPr>
                <w:rFonts w:ascii="Microsoft YaHei" w:hAnsi="Microsoft YaHei" w:eastAsia="Microsoft YaHei"/>
                <w:sz w:val="19"/>
              </w:rPr>
              <w:t>不推荐立项</w:t>
            </w:r>
          </w:p>
        </w:tc>
      </w:tr>
    </w:tbl>
    <w:p/>
    <w:p>
      <w:pPr>
        <w:pStyle w:val="Heading2"/>
      </w:pPr>
      <w:r>
        <w:rPr>
          <w:rFonts w:ascii="Microsoft YaHei" w:hAnsi="Microsoft YaHei" w:eastAsia="Microsoft YaHei"/>
          <w:color w:val="1E40AF"/>
          <w:sz w:val="26"/>
        </w:rPr>
        <w:t>3.3 关于"行业模型能否复用"</w:t>
      </w:r>
    </w:p>
    <w:p>
      <w:pPr>
        <w:spacing w:after="120" w:line="360" w:lineRule="auto"/>
      </w:pPr>
      <w:r>
        <w:rPr>
          <w:rFonts w:ascii="Microsoft YaHei" w:hAnsi="Microsoft YaHei" w:eastAsia="Microsoft YaHei"/>
          <w:b w:val="0"/>
          <w:i w:val="0"/>
          <w:sz w:val="21"/>
        </w:rPr>
        <w:t>埃森哲在通用电机、轴承、马达等设备上拥有"前训练模型 + 计算方法"的储备，可显著加速建模启动。但后训练（参数微调）必须基于凯莱英自有的设备数据完成 —— 即使是同品牌设备，不同工况下也需重新校准。因此行业模型可加速、不可直接替代凯莱英自身的数据积累。</w:t>
      </w:r>
    </w:p>
    <w:p>
      <w:pPr>
        <w:pStyle w:val="Heading2"/>
      </w:pPr>
      <w:r>
        <w:rPr>
          <w:rFonts w:ascii="Microsoft YaHei" w:hAnsi="Microsoft YaHei" w:eastAsia="Microsoft YaHei"/>
          <w:color w:val="1E40AF"/>
          <w:sz w:val="26"/>
        </w:rPr>
        <w:t>3.4 输出形式：避免"AI 黑盒"</w:t>
      </w:r>
    </w:p>
    <w:p>
      <w:pPr>
        <w:spacing w:after="120" w:line="360" w:lineRule="auto"/>
      </w:pPr>
      <w:r>
        <w:rPr>
          <w:rFonts w:ascii="Microsoft YaHei" w:hAnsi="Microsoft YaHei" w:eastAsia="Microsoft YaHei"/>
          <w:b w:val="0"/>
          <w:i w:val="0"/>
          <w:sz w:val="21"/>
        </w:rPr>
        <w:t>预测性维护的 AI 输出必须满足 4 项硬要求，方可在现场实际使用：</w:t>
      </w:r>
    </w:p>
    <w:p>
      <w:pPr>
        <w:pStyle w:val="ListBullet"/>
        <w:spacing w:after="60" w:line="336" w:lineRule="auto"/>
        <w:ind w:left="340"/>
      </w:pPr>
      <w:r>
        <w:rPr>
          <w:rFonts w:ascii="Microsoft YaHei" w:hAnsi="Microsoft YaHei" w:eastAsia="Microsoft YaHei"/>
          <w:sz w:val="20"/>
        </w:rPr>
        <w:t>① 可解释 — 不是单一分数，能说明判断依据</w:t>
      </w:r>
    </w:p>
    <w:p>
      <w:pPr>
        <w:pStyle w:val="ListBullet"/>
        <w:spacing w:after="60" w:line="336" w:lineRule="auto"/>
        <w:ind w:left="340"/>
      </w:pPr>
      <w:r>
        <w:rPr>
          <w:rFonts w:ascii="Microsoft YaHei" w:hAnsi="Microsoft YaHei" w:eastAsia="Microsoft YaHei"/>
          <w:sz w:val="20"/>
        </w:rPr>
        <w:t>② 含故障类型 — 具体到"轴承磨损"、"润滑不足"等类型</w:t>
      </w:r>
    </w:p>
    <w:p>
      <w:pPr>
        <w:pStyle w:val="ListBullet"/>
        <w:spacing w:after="60" w:line="336" w:lineRule="auto"/>
        <w:ind w:left="340"/>
      </w:pPr>
      <w:r>
        <w:rPr>
          <w:rFonts w:ascii="Microsoft YaHei" w:hAnsi="Microsoft YaHei" w:eastAsia="Microsoft YaHei"/>
          <w:sz w:val="20"/>
        </w:rPr>
        <w:t>③ 含部位 + 证据 — 指明设备具体部位 + 关联的传感器数据 / 历史案例</w:t>
      </w:r>
    </w:p>
    <w:p>
      <w:pPr>
        <w:pStyle w:val="ListBullet"/>
        <w:spacing w:after="60" w:line="336" w:lineRule="auto"/>
        <w:ind w:left="340"/>
      </w:pPr>
      <w:r>
        <w:rPr>
          <w:rFonts w:ascii="Microsoft YaHei" w:hAnsi="Microsoft YaHei" w:eastAsia="Microsoft YaHei"/>
          <w:sz w:val="20"/>
        </w:rPr>
        <w:t>④ 含处置建议 — 明确动作：检修 / 更换 / 监控 / 通知供应商</w:t>
      </w:r>
    </w:p>
    <w:p>
      <w:pPr>
        <w:spacing w:after="120" w:line="360" w:lineRule="auto"/>
      </w:pPr>
      <w:r>
        <w:rPr>
          <w:rFonts w:ascii="Microsoft YaHei" w:hAnsi="Microsoft YaHei" w:eastAsia="Microsoft YaHei"/>
          <w:b w:val="0"/>
          <w:i w:val="0"/>
          <w:sz w:val="21"/>
        </w:rPr>
        <w:t>技术实现路径为"预测模型 + 知识图谱解释"两层 — 预测模型负责给出异常分数与时点判断；知识图谱基于历史 RCA、偏差报告、供应商资料的预先建模，负责给出根因解释与处置建议。</w:t>
      </w:r>
    </w:p>
    <w:p>
      <w:pPr>
        <w:pStyle w:val="Heading2"/>
      </w:pPr>
      <w:r>
        <w:rPr>
          <w:rFonts w:ascii="Microsoft YaHei" w:hAnsi="Microsoft YaHei" w:eastAsia="Microsoft YaHei"/>
          <w:color w:val="1E40AF"/>
          <w:sz w:val="26"/>
        </w:rPr>
        <w:t>3.5 一个反向思考</w:t>
      </w:r>
    </w:p>
    <w:tbl>
      <w:tblPr>
        <w:tblW w:type="auto" w:w="0"/>
        <w:tblLook w:firstColumn="1" w:firstRow="1" w:lastColumn="0" w:lastRow="0" w:noHBand="0" w:noVBand="1" w:val="04A0"/>
      </w:tblPr>
      <w:tblGrid>
        <w:gridCol w:w="9406"/>
      </w:tblGrid>
      <w:tr>
        <w:tc>
          <w:tcPr>
            <w:tcW w:type="dxa" w:w="9406"/>
            <w:shd w:val="clear" w:fill="FFF7F1"/>
            <w:tcBorders>
              <w:left w:val="single" w:sz="24" w:color="FF7E3D"/>
              <w:top w:val="single" w:sz="4" w:color="FFD8BE"/>
              <w:right w:val="single" w:sz="4" w:color="FFD8BE"/>
              <w:bottom w:val="single" w:sz="4" w:color="FFD8BE"/>
            </w:tcBorders>
          </w:tcPr>
          <w:p>
            <w:pPr>
              <w:spacing w:line="360" w:lineRule="auto"/>
            </w:pPr>
            <w:r>
              <w:rPr>
                <w:rFonts w:ascii="Microsoft YaHei" w:hAnsi="Microsoft YaHei" w:eastAsia="Microsoft YaHei"/>
                <w:color w:val="3A4D72"/>
                <w:sz w:val="20"/>
              </w:rPr>
              <w:t>如果某类设备过去几乎不出故障，PdM 项目反而难做 —— 既无故障样本支持训练，也无"经常坏"的痛点支撑项目论证。选试点设备时不应挑"维护最好的"，而应挑"故障频次中等以上、单次损失较大、且现有传感器或可加装传感器"的设备类型。</w:t>
            </w:r>
          </w:p>
        </w:tc>
      </w:tr>
    </w:tbl>
    <w:p/>
    <w:p>
      <w:r>
        <w:br w:type="page"/>
      </w:r>
    </w:p>
    <w:p>
      <w:pPr>
        <w:pStyle w:val="Heading1"/>
      </w:pPr>
      <w:r>
        <w:rPr>
          <w:rFonts w:ascii="Microsoft YaHei" w:hAnsi="Microsoft YaHei" w:eastAsia="Microsoft YaHei"/>
          <w:color w:val="0F1F3D"/>
          <w:sz w:val="34"/>
        </w:rPr>
        <w:t>PART 04 · 凯莱英需要准备的内容</w:t>
      </w:r>
    </w:p>
    <w:p>
      <w:pPr>
        <w:spacing w:after="120" w:line="360" w:lineRule="auto"/>
      </w:pPr>
      <w:r>
        <w:rPr>
          <w:rFonts w:ascii="Microsoft YaHei" w:hAnsi="Microsoft YaHei" w:eastAsia="Microsoft YaHei"/>
          <w:b/>
          <w:i w:val="0"/>
          <w:sz w:val="23"/>
        </w:rPr>
        <w:t>4 类信息整理 · 决定下一步能不能推、怎么推。</w:t>
      </w:r>
    </w:p>
    <w:p>
      <w:pPr>
        <w:spacing w:after="120" w:line="360" w:lineRule="auto"/>
      </w:pPr>
      <w:r>
        <w:rPr>
          <w:rFonts w:ascii="Microsoft YaHei" w:hAnsi="Microsoft YaHei" w:eastAsia="Microsoft YaHei"/>
          <w:b w:val="0"/>
          <w:i w:val="0"/>
          <w:sz w:val="22"/>
        </w:rPr>
        <w:t>无论最终选择埃森哲还是其他供应商，启动 PdM 项目前需要由凯莱英内部完成 4 类信息的整理。这是后续方案设计、商务报价、立项论证的共同前提，缺一不可。</w:t>
      </w:r>
    </w:p>
    <w:p>
      <w:pPr>
        <w:pStyle w:val="Heading2"/>
      </w:pPr>
      <w:r>
        <w:rPr>
          <w:rFonts w:ascii="Microsoft YaHei" w:hAnsi="Microsoft YaHei" w:eastAsia="Microsoft YaHei"/>
          <w:color w:val="1E40AF"/>
          <w:sz w:val="26"/>
        </w:rPr>
        <w:t>4 类信息整理清单</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fill="0F1F3D"/>
          </w:tcPr>
          <w:p>
            <w:r/>
            <w:r>
              <w:rPr>
                <w:rFonts w:ascii="Microsoft YaHei" w:hAnsi="Microsoft YaHei" w:eastAsia="Microsoft YaHei"/>
                <w:b/>
                <w:color w:val="FFFFFF"/>
                <w:sz w:val="20"/>
              </w:rPr>
              <w:t>类别</w:t>
            </w:r>
          </w:p>
        </w:tc>
        <w:tc>
          <w:tcPr>
            <w:tcW w:type="dxa" w:w="2351"/>
            <w:shd w:val="clear" w:fill="0F1F3D"/>
          </w:tcPr>
          <w:p>
            <w:r/>
            <w:r>
              <w:rPr>
                <w:rFonts w:ascii="Microsoft YaHei" w:hAnsi="Microsoft YaHei" w:eastAsia="Microsoft YaHei"/>
                <w:b/>
                <w:color w:val="FFFFFF"/>
                <w:sz w:val="20"/>
              </w:rPr>
              <w:t>主题</w:t>
            </w:r>
          </w:p>
        </w:tc>
        <w:tc>
          <w:tcPr>
            <w:tcW w:type="dxa" w:w="2351"/>
            <w:shd w:val="clear" w:fill="0F1F3D"/>
          </w:tcPr>
          <w:p>
            <w:r/>
            <w:r>
              <w:rPr>
                <w:rFonts w:ascii="Microsoft YaHei" w:hAnsi="Microsoft YaHei" w:eastAsia="Microsoft YaHei"/>
                <w:b/>
                <w:color w:val="FFFFFF"/>
                <w:sz w:val="20"/>
              </w:rPr>
              <w:t>具体内容</w:t>
            </w:r>
          </w:p>
        </w:tc>
        <w:tc>
          <w:tcPr>
            <w:tcW w:type="dxa" w:w="2351"/>
            <w:shd w:val="clear" w:fill="0F1F3D"/>
          </w:tcPr>
          <w:p>
            <w:r/>
            <w:r>
              <w:rPr>
                <w:rFonts w:ascii="Microsoft YaHei" w:hAnsi="Microsoft YaHei" w:eastAsia="Microsoft YaHei"/>
                <w:b/>
                <w:color w:val="FFFFFF"/>
                <w:sz w:val="20"/>
              </w:rPr>
              <w:t>建议配合部门</w:t>
            </w:r>
          </w:p>
        </w:tc>
      </w:tr>
      <w:tr>
        <w:tc>
          <w:tcPr>
            <w:tcW w:type="dxa" w:w="2351"/>
          </w:tcPr>
          <w:p>
            <w:pPr>
              <w:spacing w:line="336" w:lineRule="auto"/>
            </w:pPr>
            <w:r/>
            <w:r>
              <w:rPr>
                <w:rFonts w:ascii="Microsoft YaHei" w:hAnsi="Microsoft YaHei" w:eastAsia="Microsoft YaHei"/>
                <w:sz w:val="19"/>
              </w:rPr>
              <w:t>①</w:t>
            </w:r>
          </w:p>
        </w:tc>
        <w:tc>
          <w:tcPr>
            <w:tcW w:type="dxa" w:w="2351"/>
          </w:tcPr>
          <w:p>
            <w:pPr>
              <w:spacing w:line="336" w:lineRule="auto"/>
            </w:pPr>
            <w:r/>
            <w:r>
              <w:rPr>
                <w:rFonts w:ascii="Microsoft YaHei" w:hAnsi="Microsoft YaHei" w:eastAsia="Microsoft YaHei"/>
                <w:sz w:val="19"/>
              </w:rPr>
              <w:t>设备清单</w:t>
            </w:r>
          </w:p>
        </w:tc>
        <w:tc>
          <w:tcPr>
            <w:tcW w:type="dxa" w:w="2351"/>
          </w:tcPr>
          <w:p>
            <w:pPr>
              <w:spacing w:line="336" w:lineRule="auto"/>
            </w:pPr>
            <w:r/>
            <w:r>
              <w:rPr>
                <w:rFonts w:ascii="Microsoft YaHei" w:hAnsi="Microsoft YaHei" w:eastAsia="Microsoft YaHei"/>
                <w:sz w:val="19"/>
              </w:rPr>
              <w:t>产线 / 厂区 + 设备类型 + 数量 + 关键作用 + 当前维护模式</w:t>
            </w:r>
          </w:p>
        </w:tc>
        <w:tc>
          <w:tcPr>
            <w:tcW w:type="dxa" w:w="2351"/>
          </w:tcPr>
          <w:p>
            <w:pPr>
              <w:spacing w:line="336" w:lineRule="auto"/>
            </w:pPr>
            <w:r/>
            <w:r>
              <w:rPr>
                <w:rFonts w:ascii="Microsoft YaHei" w:hAnsi="Microsoft YaHei" w:eastAsia="Microsoft YaHei"/>
                <w:sz w:val="19"/>
              </w:rPr>
              <w:t>设备工程部 + 各厂区设备组</w:t>
            </w:r>
          </w:p>
        </w:tc>
      </w:tr>
      <w:tr>
        <w:tc>
          <w:tcPr>
            <w:tcW w:type="dxa" w:w="2351"/>
          </w:tcPr>
          <w:p>
            <w:pPr>
              <w:spacing w:line="336" w:lineRule="auto"/>
            </w:pPr>
            <w:r/>
            <w:r>
              <w:rPr>
                <w:rFonts w:ascii="Microsoft YaHei" w:hAnsi="Microsoft YaHei" w:eastAsia="Microsoft YaHei"/>
                <w:sz w:val="19"/>
              </w:rPr>
              <w:t>②</w:t>
            </w:r>
          </w:p>
        </w:tc>
        <w:tc>
          <w:tcPr>
            <w:tcW w:type="dxa" w:w="2351"/>
          </w:tcPr>
          <w:p>
            <w:pPr>
              <w:spacing w:line="336" w:lineRule="auto"/>
            </w:pPr>
            <w:r/>
            <w:r>
              <w:rPr>
                <w:rFonts w:ascii="Microsoft YaHei" w:hAnsi="Microsoft YaHei" w:eastAsia="Microsoft YaHei"/>
                <w:sz w:val="19"/>
              </w:rPr>
              <w:t>主要故障</w:t>
            </w:r>
          </w:p>
        </w:tc>
        <w:tc>
          <w:tcPr>
            <w:tcW w:type="dxa" w:w="2351"/>
          </w:tcPr>
          <w:p>
            <w:pPr>
              <w:spacing w:line="336" w:lineRule="auto"/>
            </w:pPr>
            <w:r/>
            <w:r>
              <w:rPr>
                <w:rFonts w:ascii="Microsoft YaHei" w:hAnsi="Microsoft YaHei" w:eastAsia="Microsoft YaHei"/>
                <w:sz w:val="19"/>
              </w:rPr>
              <w:t>按业务损失或 OEE 排序的 Top 5 类故障 + 年度频次 + 单次损失金额估算</w:t>
            </w:r>
          </w:p>
        </w:tc>
        <w:tc>
          <w:tcPr>
            <w:tcW w:type="dxa" w:w="2351"/>
          </w:tcPr>
          <w:p>
            <w:pPr>
              <w:spacing w:line="336" w:lineRule="auto"/>
            </w:pPr>
            <w:r/>
            <w:r>
              <w:rPr>
                <w:rFonts w:ascii="Microsoft YaHei" w:hAnsi="Microsoft YaHei" w:eastAsia="Microsoft YaHei"/>
                <w:sz w:val="19"/>
              </w:rPr>
              <w:t>设备工程部 + 生产部 + 精益小组</w:t>
            </w:r>
          </w:p>
        </w:tc>
      </w:tr>
      <w:tr>
        <w:tc>
          <w:tcPr>
            <w:tcW w:type="dxa" w:w="2351"/>
          </w:tcPr>
          <w:p>
            <w:pPr>
              <w:spacing w:line="336" w:lineRule="auto"/>
            </w:pPr>
            <w:r/>
            <w:r>
              <w:rPr>
                <w:rFonts w:ascii="Microsoft YaHei" w:hAnsi="Microsoft YaHei" w:eastAsia="Microsoft YaHei"/>
                <w:sz w:val="19"/>
              </w:rPr>
              <w:t>③</w:t>
            </w:r>
          </w:p>
        </w:tc>
        <w:tc>
          <w:tcPr>
            <w:tcW w:type="dxa" w:w="2351"/>
          </w:tcPr>
          <w:p>
            <w:pPr>
              <w:spacing w:line="336" w:lineRule="auto"/>
            </w:pPr>
            <w:r/>
            <w:r>
              <w:rPr>
                <w:rFonts w:ascii="Microsoft YaHei" w:hAnsi="Microsoft YaHei" w:eastAsia="Microsoft YaHei"/>
                <w:sz w:val="19"/>
              </w:rPr>
              <w:t>数据基础</w:t>
            </w:r>
          </w:p>
        </w:tc>
        <w:tc>
          <w:tcPr>
            <w:tcW w:type="dxa" w:w="2351"/>
          </w:tcPr>
          <w:p>
            <w:pPr>
              <w:spacing w:line="336" w:lineRule="auto"/>
            </w:pPr>
            <w:r/>
            <w:r>
              <w:rPr>
                <w:rFonts w:ascii="Microsoft YaHei" w:hAnsi="Microsoft YaHei" w:eastAsia="Microsoft YaHei"/>
                <w:sz w:val="19"/>
              </w:rPr>
              <w:t>现有传感器清单（类型、位置、覆盖率）+ 采集频次 + 历史数据归档时长 + 已发生异常案例的数据完整度</w:t>
            </w:r>
          </w:p>
        </w:tc>
        <w:tc>
          <w:tcPr>
            <w:tcW w:type="dxa" w:w="2351"/>
          </w:tcPr>
          <w:p>
            <w:pPr>
              <w:spacing w:line="336" w:lineRule="auto"/>
            </w:pPr>
            <w:r/>
            <w:r>
              <w:rPr>
                <w:rFonts w:ascii="Microsoft YaHei" w:hAnsi="Microsoft YaHei" w:eastAsia="Microsoft YaHei"/>
                <w:sz w:val="19"/>
              </w:rPr>
              <w:t>CDT + 设备工程部 + IT</w:t>
            </w:r>
          </w:p>
        </w:tc>
      </w:tr>
      <w:tr>
        <w:tc>
          <w:tcPr>
            <w:tcW w:type="dxa" w:w="2351"/>
          </w:tcPr>
          <w:p>
            <w:pPr>
              <w:spacing w:line="336" w:lineRule="auto"/>
            </w:pPr>
            <w:r/>
            <w:r>
              <w:rPr>
                <w:rFonts w:ascii="Microsoft YaHei" w:hAnsi="Microsoft YaHei" w:eastAsia="Microsoft YaHei"/>
                <w:sz w:val="19"/>
              </w:rPr>
              <w:t>④</w:t>
            </w:r>
          </w:p>
        </w:tc>
        <w:tc>
          <w:tcPr>
            <w:tcW w:type="dxa" w:w="2351"/>
          </w:tcPr>
          <w:p>
            <w:pPr>
              <w:spacing w:line="336" w:lineRule="auto"/>
            </w:pPr>
            <w:r/>
            <w:r>
              <w:rPr>
                <w:rFonts w:ascii="Microsoft YaHei" w:hAnsi="Microsoft YaHei" w:eastAsia="Microsoft YaHei"/>
                <w:sz w:val="19"/>
              </w:rPr>
              <w:t>先验知识</w:t>
            </w:r>
          </w:p>
        </w:tc>
        <w:tc>
          <w:tcPr>
            <w:tcW w:type="dxa" w:w="2351"/>
          </w:tcPr>
          <w:p>
            <w:pPr>
              <w:spacing w:line="336" w:lineRule="auto"/>
            </w:pPr>
            <w:r/>
            <w:r>
              <w:rPr>
                <w:rFonts w:ascii="Microsoft YaHei" w:hAnsi="Microsoft YaHei" w:eastAsia="Microsoft YaHei"/>
                <w:sz w:val="19"/>
              </w:rPr>
              <w:t>历史 RCA 报告 + 偏差报告 + 已有 FTA / FMEA 分析 + 供应商提供的设备技术资料</w:t>
            </w:r>
          </w:p>
        </w:tc>
        <w:tc>
          <w:tcPr>
            <w:tcW w:type="dxa" w:w="2351"/>
          </w:tcPr>
          <w:p>
            <w:pPr>
              <w:spacing w:line="336" w:lineRule="auto"/>
            </w:pPr>
            <w:r/>
            <w:r>
              <w:rPr>
                <w:rFonts w:ascii="Microsoft YaHei" w:hAnsi="Microsoft YaHei" w:eastAsia="Microsoft YaHei"/>
                <w:sz w:val="19"/>
              </w:rPr>
              <w:t>设备工程部 + QA + 资深维护工程师</w:t>
            </w:r>
          </w:p>
        </w:tc>
      </w:tr>
    </w:tbl>
    <w:p/>
    <w:p>
      <w:pPr>
        <w:pStyle w:val="Heading2"/>
      </w:pPr>
      <w:r>
        <w:rPr>
          <w:rFonts w:ascii="Microsoft YaHei" w:hAnsi="Microsoft YaHei" w:eastAsia="Microsoft YaHei"/>
          <w:color w:val="1E40AF"/>
          <w:sz w:val="26"/>
        </w:rPr>
        <w:t>整理完成后能回答的关键问题</w:t>
      </w:r>
    </w:p>
    <w:p>
      <w:pPr>
        <w:pStyle w:val="ListBullet"/>
        <w:spacing w:after="60" w:line="336" w:lineRule="auto"/>
        <w:ind w:left="340"/>
      </w:pPr>
      <w:r>
        <w:rPr>
          <w:rFonts w:ascii="Microsoft YaHei" w:hAnsi="Microsoft YaHei" w:eastAsia="Microsoft YaHei"/>
          <w:sz w:val="20"/>
        </w:rPr>
        <w:t>设备清单中哪几类适合优先开展 PdM —— 数据充分、痛点明确、价值显著</w:t>
      </w:r>
    </w:p>
    <w:p>
      <w:pPr>
        <w:pStyle w:val="ListBullet"/>
        <w:spacing w:after="60" w:line="336" w:lineRule="auto"/>
        <w:ind w:left="340"/>
      </w:pPr>
      <w:r>
        <w:rPr>
          <w:rFonts w:ascii="Microsoft YaHei" w:hAnsi="Microsoft YaHei" w:eastAsia="Microsoft YaHei"/>
          <w:sz w:val="20"/>
        </w:rPr>
        <w:t>每类设备需要哪些先验经验入库以构建知识图谱</w:t>
      </w:r>
    </w:p>
    <w:p>
      <w:pPr>
        <w:pStyle w:val="ListBullet"/>
        <w:spacing w:after="60" w:line="336" w:lineRule="auto"/>
        <w:ind w:left="340"/>
      </w:pPr>
      <w:r>
        <w:rPr>
          <w:rFonts w:ascii="Microsoft YaHei" w:hAnsi="Microsoft YaHei" w:eastAsia="Microsoft YaHei"/>
          <w:sz w:val="20"/>
        </w:rPr>
        <w:t>当前数据量是否足以直接建模，还是需要先补装传感器再积累</w:t>
      </w:r>
    </w:p>
    <w:p>
      <w:pPr>
        <w:pStyle w:val="ListBullet"/>
        <w:spacing w:after="60" w:line="336" w:lineRule="auto"/>
        <w:ind w:left="340"/>
      </w:pPr>
      <w:r>
        <w:rPr>
          <w:rFonts w:ascii="Microsoft YaHei" w:hAnsi="Microsoft YaHei" w:eastAsia="Microsoft YaHei"/>
          <w:sz w:val="20"/>
        </w:rPr>
        <w:t>第一阶段的合理投入与回报区间</w:t>
      </w:r>
    </w:p>
    <w:p>
      <w:pPr>
        <w:pStyle w:val="ListBullet"/>
        <w:spacing w:after="60" w:line="336" w:lineRule="auto"/>
        <w:ind w:left="340"/>
      </w:pPr>
      <w:r>
        <w:rPr>
          <w:rFonts w:ascii="Microsoft YaHei" w:hAnsi="Microsoft YaHei" w:eastAsia="Microsoft YaHei"/>
          <w:sz w:val="20"/>
        </w:rPr>
        <w:t>采用何种合作模式（外采交钥匙 / 总集成 / 单一建模等）最匹配</w:t>
      </w:r>
    </w:p>
    <w:p>
      <w:pPr>
        <w:pStyle w:val="Heading2"/>
      </w:pPr>
      <w:r>
        <w:rPr>
          <w:rFonts w:ascii="Microsoft YaHei" w:hAnsi="Microsoft YaHei" w:eastAsia="Microsoft YaHei"/>
          <w:color w:val="1E40AF"/>
          <w:sz w:val="26"/>
        </w:rPr>
        <w:t>需要在后续方案对接中澄清的事项</w:t>
      </w:r>
    </w:p>
    <w:p>
      <w:pPr>
        <w:spacing w:after="120" w:line="360" w:lineRule="auto"/>
      </w:pPr>
      <w:r>
        <w:rPr>
          <w:rFonts w:ascii="Microsoft YaHei" w:hAnsi="Microsoft YaHei" w:eastAsia="Microsoft YaHei"/>
          <w:b/>
          <w:i w:val="0"/>
          <w:sz w:val="21"/>
        </w:rPr>
        <w:t>商务层面：</w:t>
      </w:r>
    </w:p>
    <w:p>
      <w:pPr>
        <w:pStyle w:val="ListBullet"/>
        <w:spacing w:after="60" w:line="336" w:lineRule="auto"/>
        <w:ind w:left="340"/>
      </w:pPr>
      <w:r>
        <w:rPr>
          <w:rFonts w:ascii="Microsoft YaHei" w:hAnsi="Microsoft YaHei" w:eastAsia="Microsoft YaHei"/>
          <w:sz w:val="20"/>
        </w:rPr>
        <w:t>项目商务计费方式（按人天 / 按里程碑 / 按效果分成）</w:t>
      </w:r>
    </w:p>
    <w:p>
      <w:pPr>
        <w:pStyle w:val="ListBullet"/>
        <w:spacing w:after="60" w:line="336" w:lineRule="auto"/>
        <w:ind w:left="340"/>
      </w:pPr>
      <w:r>
        <w:rPr>
          <w:rFonts w:ascii="Microsoft YaHei" w:hAnsi="Microsoft YaHei" w:eastAsia="Microsoft YaHei"/>
          <w:sz w:val="20"/>
        </w:rPr>
        <w:t>不同合作模式的预算区间参考</w:t>
      </w:r>
    </w:p>
    <w:p>
      <w:pPr>
        <w:pStyle w:val="ListBullet"/>
        <w:spacing w:after="60" w:line="336" w:lineRule="auto"/>
        <w:ind w:left="340"/>
      </w:pPr>
      <w:r>
        <w:rPr>
          <w:rFonts w:ascii="Microsoft YaHei" w:hAnsi="Microsoft YaHei" w:eastAsia="Microsoft YaHei"/>
          <w:sz w:val="20"/>
        </w:rPr>
        <w:t>项目期间的培训与知识转移安排</w:t>
      </w:r>
    </w:p>
    <w:p>
      <w:pPr>
        <w:pStyle w:val="ListBullet"/>
        <w:spacing w:after="60" w:line="336" w:lineRule="auto"/>
        <w:ind w:left="340"/>
      </w:pPr>
      <w:r>
        <w:rPr>
          <w:rFonts w:ascii="Microsoft YaHei" w:hAnsi="Microsoft YaHei" w:eastAsia="Microsoft YaHei"/>
          <w:sz w:val="20"/>
        </w:rPr>
        <w:t>项目结束后的运维支持机制</w:t>
      </w:r>
    </w:p>
    <w:p>
      <w:pPr>
        <w:spacing w:after="120" w:line="360" w:lineRule="auto"/>
      </w:pPr>
      <w:r>
        <w:rPr>
          <w:rFonts w:ascii="Microsoft YaHei" w:hAnsi="Microsoft YaHei" w:eastAsia="Microsoft YaHei"/>
          <w:b/>
          <w:i w:val="0"/>
          <w:sz w:val="21"/>
        </w:rPr>
        <w:t>技术层面：</w:t>
      </w:r>
    </w:p>
    <w:p>
      <w:pPr>
        <w:pStyle w:val="ListBullet"/>
        <w:spacing w:after="60" w:line="336" w:lineRule="auto"/>
        <w:ind w:left="340"/>
      </w:pPr>
      <w:r>
        <w:rPr>
          <w:rFonts w:ascii="Microsoft YaHei" w:hAnsi="Microsoft YaHei" w:eastAsia="Microsoft YaHei"/>
          <w:sz w:val="20"/>
        </w:rPr>
        <w:t>在制药 / API / CDMO 行业 PdM 的具体案例</w:t>
      </w:r>
    </w:p>
    <w:p>
      <w:pPr>
        <w:pStyle w:val="ListBullet"/>
        <w:spacing w:after="60" w:line="336" w:lineRule="auto"/>
        <w:ind w:left="340"/>
      </w:pPr>
      <w:r>
        <w:rPr>
          <w:rFonts w:ascii="Microsoft YaHei" w:hAnsi="Microsoft YaHei" w:eastAsia="Microsoft YaHei"/>
          <w:sz w:val="20"/>
        </w:rPr>
        <w:t>本地交付团队的人员构成与经验背景</w:t>
      </w:r>
    </w:p>
    <w:p>
      <w:pPr>
        <w:pStyle w:val="ListBullet"/>
        <w:spacing w:after="60" w:line="336" w:lineRule="auto"/>
        <w:ind w:left="340"/>
      </w:pPr>
      <w:r>
        <w:rPr>
          <w:rFonts w:ascii="Microsoft YaHei" w:hAnsi="Microsoft YaHei" w:eastAsia="Microsoft YaHei"/>
          <w:sz w:val="20"/>
        </w:rPr>
        <w:t>知识图谱 / AI 模型权重的所有权归属</w:t>
      </w:r>
    </w:p>
    <w:p>
      <w:pPr>
        <w:pStyle w:val="ListBullet"/>
        <w:spacing w:after="60" w:line="336" w:lineRule="auto"/>
        <w:ind w:left="340"/>
      </w:pPr>
      <w:r>
        <w:rPr>
          <w:rFonts w:ascii="Microsoft YaHei" w:hAnsi="Microsoft YaHei" w:eastAsia="Microsoft YaHei"/>
          <w:sz w:val="20"/>
        </w:rPr>
        <w:t>与凯莱英现有 SAP / Veeva 等系统的对接方式</w:t>
      </w:r>
    </w:p>
    <w:p>
      <w:pPr>
        <w:pStyle w:val="Heading2"/>
      </w:pPr>
      <w:r>
        <w:rPr>
          <w:rFonts w:ascii="Microsoft YaHei" w:hAnsi="Microsoft YaHei" w:eastAsia="Microsoft YaHei"/>
          <w:color w:val="1E40AF"/>
          <w:sz w:val="26"/>
        </w:rPr>
        <w:t>下一步推进节奏建议</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fill="0F1F3D"/>
          </w:tcPr>
          <w:p>
            <w:r/>
            <w:r>
              <w:rPr>
                <w:rFonts w:ascii="Microsoft YaHei" w:hAnsi="Microsoft YaHei" w:eastAsia="Microsoft YaHei"/>
                <w:b/>
                <w:color w:val="FFFFFF"/>
                <w:sz w:val="20"/>
              </w:rPr>
              <w:t>时间</w:t>
            </w:r>
          </w:p>
        </w:tc>
        <w:tc>
          <w:tcPr>
            <w:tcW w:type="dxa" w:w="3135"/>
            <w:shd w:val="clear" w:fill="0F1F3D"/>
          </w:tcPr>
          <w:p>
            <w:r/>
            <w:r>
              <w:rPr>
                <w:rFonts w:ascii="Microsoft YaHei" w:hAnsi="Microsoft YaHei" w:eastAsia="Microsoft YaHei"/>
                <w:b/>
                <w:color w:val="FFFFFF"/>
                <w:sz w:val="20"/>
              </w:rPr>
              <w:t>阶段</w:t>
            </w:r>
          </w:p>
        </w:tc>
        <w:tc>
          <w:tcPr>
            <w:tcW w:type="dxa" w:w="3135"/>
            <w:shd w:val="clear" w:fill="0F1F3D"/>
          </w:tcPr>
          <w:p>
            <w:r/>
            <w:r>
              <w:rPr>
                <w:rFonts w:ascii="Microsoft YaHei" w:hAnsi="Microsoft YaHei" w:eastAsia="Microsoft YaHei"/>
                <w:b/>
                <w:color w:val="FFFFFF"/>
                <w:sz w:val="20"/>
              </w:rPr>
              <w:t>主要工作</w:t>
            </w:r>
          </w:p>
        </w:tc>
      </w:tr>
      <w:tr>
        <w:tc>
          <w:tcPr>
            <w:tcW w:type="dxa" w:w="3135"/>
          </w:tcPr>
          <w:p>
            <w:pPr>
              <w:spacing w:line="336" w:lineRule="auto"/>
            </w:pPr>
            <w:r/>
            <w:r>
              <w:rPr>
                <w:rFonts w:ascii="Microsoft YaHei" w:hAnsi="Microsoft YaHei" w:eastAsia="Microsoft YaHei"/>
                <w:sz w:val="19"/>
              </w:rPr>
              <w:t>第 1 个月</w:t>
            </w:r>
          </w:p>
        </w:tc>
        <w:tc>
          <w:tcPr>
            <w:tcW w:type="dxa" w:w="3135"/>
          </w:tcPr>
          <w:p>
            <w:pPr>
              <w:spacing w:line="336" w:lineRule="auto"/>
            </w:pPr>
            <w:r/>
            <w:r>
              <w:rPr>
                <w:rFonts w:ascii="Microsoft YaHei" w:hAnsi="Microsoft YaHei" w:eastAsia="Microsoft YaHei"/>
                <w:sz w:val="19"/>
              </w:rPr>
              <w:t>信息整理</w:t>
            </w:r>
          </w:p>
        </w:tc>
        <w:tc>
          <w:tcPr>
            <w:tcW w:type="dxa" w:w="3135"/>
          </w:tcPr>
          <w:p>
            <w:pPr>
              <w:spacing w:line="336" w:lineRule="auto"/>
            </w:pPr>
            <w:r/>
            <w:r>
              <w:rPr>
                <w:rFonts w:ascii="Microsoft YaHei" w:hAnsi="Microsoft YaHei" w:eastAsia="Microsoft YaHei"/>
                <w:sz w:val="19"/>
              </w:rPr>
              <w:t>凯莱英内部完成 4 类信息整理 + 选定起步设备类型</w:t>
            </w:r>
          </w:p>
        </w:tc>
      </w:tr>
      <w:tr>
        <w:tc>
          <w:tcPr>
            <w:tcW w:type="dxa" w:w="3135"/>
          </w:tcPr>
          <w:p>
            <w:pPr>
              <w:spacing w:line="336" w:lineRule="auto"/>
            </w:pPr>
            <w:r/>
            <w:r>
              <w:rPr>
                <w:rFonts w:ascii="Microsoft YaHei" w:hAnsi="Microsoft YaHei" w:eastAsia="Microsoft YaHei"/>
                <w:sz w:val="19"/>
              </w:rPr>
              <w:t>第 2-3 个月</w:t>
            </w:r>
          </w:p>
        </w:tc>
        <w:tc>
          <w:tcPr>
            <w:tcW w:type="dxa" w:w="3135"/>
          </w:tcPr>
          <w:p>
            <w:pPr>
              <w:spacing w:line="336" w:lineRule="auto"/>
            </w:pPr>
            <w:r/>
            <w:r>
              <w:rPr>
                <w:rFonts w:ascii="Microsoft YaHei" w:hAnsi="Microsoft YaHei" w:eastAsia="Microsoft YaHei"/>
                <w:sz w:val="19"/>
              </w:rPr>
              <w:t>方案对齐</w:t>
            </w:r>
          </w:p>
        </w:tc>
        <w:tc>
          <w:tcPr>
            <w:tcW w:type="dxa" w:w="3135"/>
          </w:tcPr>
          <w:p>
            <w:pPr>
              <w:spacing w:line="336" w:lineRule="auto"/>
            </w:pPr>
            <w:r/>
            <w:r>
              <w:rPr>
                <w:rFonts w:ascii="Microsoft YaHei" w:hAnsi="Microsoft YaHei" w:eastAsia="Microsoft YaHei"/>
                <w:sz w:val="19"/>
              </w:rPr>
              <w:t>与埃森哲（及其他候选供应商）做 1-2 轮深度方案讨论 + 商务报价</w:t>
            </w:r>
          </w:p>
        </w:tc>
      </w:tr>
      <w:tr>
        <w:tc>
          <w:tcPr>
            <w:tcW w:type="dxa" w:w="3135"/>
          </w:tcPr>
          <w:p>
            <w:pPr>
              <w:spacing w:line="336" w:lineRule="auto"/>
            </w:pPr>
            <w:r/>
            <w:r>
              <w:rPr>
                <w:rFonts w:ascii="Microsoft YaHei" w:hAnsi="Microsoft YaHei" w:eastAsia="Microsoft YaHei"/>
                <w:sz w:val="19"/>
              </w:rPr>
              <w:t>第 3-6 个月</w:t>
            </w:r>
          </w:p>
        </w:tc>
        <w:tc>
          <w:tcPr>
            <w:tcW w:type="dxa" w:w="3135"/>
          </w:tcPr>
          <w:p>
            <w:pPr>
              <w:spacing w:line="336" w:lineRule="auto"/>
            </w:pPr>
            <w:r/>
            <w:r>
              <w:rPr>
                <w:rFonts w:ascii="Microsoft YaHei" w:hAnsi="Microsoft YaHei" w:eastAsia="Microsoft YaHei"/>
                <w:sz w:val="19"/>
              </w:rPr>
              <w:t>PoC 启动</w:t>
            </w:r>
          </w:p>
        </w:tc>
        <w:tc>
          <w:tcPr>
            <w:tcW w:type="dxa" w:w="3135"/>
          </w:tcPr>
          <w:p>
            <w:pPr>
              <w:spacing w:line="336" w:lineRule="auto"/>
            </w:pPr>
            <w:r/>
            <w:r>
              <w:rPr>
                <w:rFonts w:ascii="Microsoft YaHei" w:hAnsi="Microsoft YaHei" w:eastAsia="Microsoft YaHei"/>
                <w:sz w:val="19"/>
              </w:rPr>
              <w:t>选定 1 类设备开展概念验证 —— 数据采集 + 算法建模 + 知识图谱搭建</w:t>
            </w:r>
          </w:p>
        </w:tc>
      </w:tr>
      <w:tr>
        <w:tc>
          <w:tcPr>
            <w:tcW w:type="dxa" w:w="3135"/>
          </w:tcPr>
          <w:p>
            <w:pPr>
              <w:spacing w:line="336" w:lineRule="auto"/>
            </w:pPr>
            <w:r/>
            <w:r>
              <w:rPr>
                <w:rFonts w:ascii="Microsoft YaHei" w:hAnsi="Microsoft YaHei" w:eastAsia="Microsoft YaHei"/>
                <w:sz w:val="19"/>
              </w:rPr>
              <w:t>第 6-12 个月</w:t>
            </w:r>
          </w:p>
        </w:tc>
        <w:tc>
          <w:tcPr>
            <w:tcW w:type="dxa" w:w="3135"/>
          </w:tcPr>
          <w:p>
            <w:pPr>
              <w:spacing w:line="336" w:lineRule="auto"/>
            </w:pPr>
            <w:r/>
            <w:r>
              <w:rPr>
                <w:rFonts w:ascii="Microsoft YaHei" w:hAnsi="Microsoft YaHei" w:eastAsia="Microsoft YaHei"/>
                <w:sz w:val="19"/>
              </w:rPr>
              <w:t>试点与推广</w:t>
            </w:r>
          </w:p>
        </w:tc>
        <w:tc>
          <w:tcPr>
            <w:tcW w:type="dxa" w:w="3135"/>
          </w:tcPr>
          <w:p>
            <w:pPr>
              <w:spacing w:line="336" w:lineRule="auto"/>
            </w:pPr>
            <w:r/>
            <w:r>
              <w:rPr>
                <w:rFonts w:ascii="Microsoft YaHei" w:hAnsi="Microsoft YaHei" w:eastAsia="Microsoft YaHei"/>
                <w:sz w:val="19"/>
              </w:rPr>
              <w:t>PoC 结果评估，决定是否扩展到其他设备类型 / 厂区</w:t>
            </w:r>
          </w:p>
        </w:tc>
      </w:tr>
    </w:tbl>
    <w:p/>
    <w:tbl>
      <w:tblPr>
        <w:tblW w:type="auto" w:w="0"/>
        <w:tblLook w:firstColumn="1" w:firstRow="1" w:lastColumn="0" w:lastRow="0" w:noHBand="0" w:noVBand="1" w:val="04A0"/>
      </w:tblPr>
      <w:tblGrid>
        <w:gridCol w:w="9406"/>
      </w:tblGrid>
      <w:tr>
        <w:tc>
          <w:tcPr>
            <w:tcW w:type="dxa" w:w="9406"/>
            <w:shd w:val="clear" w:fill="FFF7F1"/>
            <w:tcBorders>
              <w:left w:val="single" w:sz="24" w:color="FF7E3D"/>
              <w:top w:val="single" w:sz="4" w:color="FFD8BE"/>
              <w:right w:val="single" w:sz="4" w:color="FFD8BE"/>
              <w:bottom w:val="single" w:sz="4" w:color="FFD8BE"/>
            </w:tcBorders>
          </w:tcPr>
          <w:p>
            <w:pPr>
              <w:spacing w:line="360" w:lineRule="auto"/>
            </w:pPr>
            <w:r>
              <w:rPr>
                <w:rFonts w:ascii="Microsoft YaHei" w:hAnsi="Microsoft YaHei" w:eastAsia="Microsoft YaHei"/>
                <w:color w:val="3A4D72"/>
                <w:sz w:val="20"/>
              </w:rPr>
              <w:t>核心结论：埃森哲在设备智能化资产管理方向具备完整的方法论与多智能体协作架构，"健康分 + 知识图谱"的可解释 AI 方案具有显著优势。凯莱英以"设备预测性维护"作为合作切入点是合理选择 —— 数据归属清晰、合规风险低、价值可量化。项目能否顺利推进，取决于设备清单、故障痛点、数据基础、先验知识四类信息的整理质量。</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