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YaHei" w:hAnsi="Microsoft YaHei" w:eastAsia="Microsoft YaHei"/>
          <w:b/>
          <w:color w:val="0F1F3D"/>
          <w:sz w:val="34"/>
        </w:rPr>
        <w:t>阿里参访总结与数字员工启动方案</w:t>
      </w:r>
    </w:p>
    <w:p>
      <w:pPr>
        <w:pBdr>
          <w:bottom w:val="single" w:sz="12" w:space="3" w:color="0F1F3D"/>
        </w:pBdr>
        <w:spacing w:after="120"/>
      </w:pPr>
      <w:r>
        <w:rPr>
          <w:rFonts w:ascii="Microsoft YaHei" w:hAnsi="Microsoft YaHei" w:eastAsia="Microsoft YaHei"/>
          <w:b w:val="0"/>
          <w:color w:val="6B7790"/>
          <w:sz w:val="17"/>
        </w:rPr>
        <w:t>汇报版　｜　依据 10 月 16 日阿里云谷园区与钉钉园区参访整理</w:t>
      </w:r>
    </w:p>
    <w:tbl>
      <w:tblPr>
        <w:tblW w:w="9752" w:type="dxa"/>
        <w:jc w:val="center"/>
        <w:tblLayout w:type="fixed"/>
        <w:tblCellMar>
          <w:top w:w="110" w:type="dxa"/>
          <w:left w:w="170" w:type="dxa"/>
          <w:bottom w:w="110" w:type="dxa"/>
          <w:right w:w="170" w:type="dxa"/>
        </w:tblCellMar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color="auto" w:fill="0F1F3D"/>
          </w:tcPr>
          <w:p>
            <w:pPr>
              <w:spacing w:after="0" w:line="336" w:lineRule="auto"/>
            </w:pPr>
            <w:r/>
            <w:r>
              <w:rPr>
                <w:rFonts w:ascii="Microsoft YaHei" w:hAnsi="Microsoft YaHei" w:eastAsia="Microsoft YaHei"/>
                <w:b/>
                <w:color w:val="FFB489"/>
                <w:sz w:val="20"/>
              </w:rPr>
              <w:t>核心结论：</w:t>
            </w:r>
            <w:r>
              <w:rPr>
                <w:rFonts w:ascii="Microsoft YaHei" w:hAnsi="Microsoft YaHei" w:eastAsia="Microsoft YaHei"/>
                <w:b w:val="0"/>
                <w:color w:val="FFFFFF"/>
                <w:sz w:val="20"/>
              </w:rPr>
              <w:t>阿里给出的是一套让 AI 读懂企业的方法——以钉钉的组织、身份与权限为基础，用企业上下文把文档、群聊与会议压缩成 AI 可用的知识，再让有岗位、有授权、可追溯的数字员工进入流程。对凯莱英而言，首要目标是</w:t>
            </w:r>
            <w:r>
              <w:rPr>
                <w:rFonts w:ascii="Microsoft YaHei" w:hAnsi="Microsoft YaHei" w:eastAsia="Microsoft YaHei"/>
                <w:b/>
                <w:color w:val="FFB489"/>
                <w:sz w:val="20"/>
              </w:rPr>
              <w:t>建成企业自有的知识库地基</w:t>
            </w:r>
            <w:r>
              <w:rPr>
                <w:rFonts w:ascii="Microsoft YaHei" w:hAnsi="Microsoft YaHei" w:eastAsia="Microsoft YaHei"/>
                <w:b w:val="0"/>
                <w:color w:val="FFFFFF"/>
                <w:sz w:val="20"/>
              </w:rPr>
              <w:t>：知识库的质量比数字员工的数量更重要。</w:t>
            </w:r>
          </w:p>
        </w:tc>
      </w:tr>
    </w:tbl>
    <w:p>
      <w:pPr>
        <w:spacing w:after="0" w:line="144" w:lineRule="auto"/>
      </w:pPr>
    </w:p>
    <w:p>
      <w:pPr>
        <w:keepNext/>
        <w:pBdr>
          <w:bottom w:val="single" w:sz="4" w:space="2" w:color="D5DBE6"/>
        </w:pBdr>
        <w:spacing w:before="140" w:after="60"/>
      </w:pPr>
      <w:r>
        <w:rPr>
          <w:rFonts w:ascii="Microsoft YaHei" w:hAnsi="Microsoft YaHei" w:eastAsia="Microsoft YaHei"/>
          <w:b/>
          <w:color w:val="C2410C"/>
          <w:sz w:val="24"/>
        </w:rPr>
        <w:t xml:space="preserve">一  </w:t>
      </w:r>
      <w:r>
        <w:rPr>
          <w:rFonts w:ascii="Microsoft YaHei" w:hAnsi="Microsoft YaHei" w:eastAsia="Microsoft YaHei"/>
          <w:b/>
          <w:color w:val="0F1F3D"/>
          <w:sz w:val="24"/>
        </w:rPr>
        <w:t>阿里的思路</w:t>
      </w:r>
    </w:p>
    <w:p>
      <w:pPr>
        <w:spacing w:after="30"/>
        <w:ind w:left="255" w:hanging="198"/>
      </w:pPr>
      <w:r>
        <w:rPr>
          <w:rFonts w:ascii="Microsoft YaHei" w:hAnsi="Microsoft YaHei" w:eastAsia="Microsoft YaHei"/>
          <w:b/>
          <w:color w:val="C2410C"/>
          <w:sz w:val="19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19"/>
        </w:rPr>
        <w:t>核心判断：AI 不缺聪明，缺“工龄”。</w:t>
      </w:r>
      <w:r>
        <w:rPr>
          <w:rFonts w:ascii="Microsoft YaHei" w:hAnsi="Microsoft YaHei" w:eastAsia="Microsoft YaHei"/>
          <w:b w:val="0"/>
          <w:color w:val="1F2A44"/>
          <w:sz w:val="19"/>
        </w:rPr>
        <w:t>大模型懂行业常识，却不懂企业自己的组织、术语与流程。企业落地的三大瓶颈：AI 不懂业务、个人提效而组织未提效、数据安全。</w:t>
      </w:r>
    </w:p>
    <w:p>
      <w:pPr>
        <w:spacing w:after="30"/>
        <w:ind w:left="255" w:hanging="198"/>
      </w:pPr>
      <w:r>
        <w:rPr>
          <w:rFonts w:ascii="Microsoft YaHei" w:hAnsi="Microsoft YaHei" w:eastAsia="Microsoft YaHei"/>
          <w:b/>
          <w:color w:val="C2410C"/>
          <w:sz w:val="19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19"/>
        </w:rPr>
        <w:t>技术抓手：连接与压缩。</w:t>
      </w:r>
      <w:r>
        <w:rPr>
          <w:rFonts w:ascii="Microsoft YaHei" w:hAnsi="Microsoft YaHei" w:eastAsia="Microsoft YaHei"/>
          <w:b w:val="0"/>
          <w:color w:val="1F2A44"/>
          <w:sz w:val="19"/>
        </w:rPr>
        <w:t>钉钉已对智能体开放底层能力，员工有什么权限 AI 就继承什么权限；海量资料被压缩为结构化记忆，并以知识图谱表达关联。</w:t>
      </w:r>
    </w:p>
    <w:p>
      <w:pPr>
        <w:spacing w:after="30"/>
        <w:ind w:left="255" w:hanging="198"/>
      </w:pPr>
      <w:r>
        <w:rPr>
          <w:rFonts w:ascii="Microsoft YaHei" w:hAnsi="Microsoft YaHei" w:eastAsia="Microsoft YaHei"/>
          <w:b/>
          <w:color w:val="C2410C"/>
          <w:sz w:val="19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19"/>
        </w:rPr>
        <w:t>产品形态：数字员工。</w:t>
      </w:r>
      <w:r>
        <w:rPr>
          <w:rFonts w:ascii="Microsoft YaHei" w:hAnsi="Microsoft YaHei" w:eastAsia="Microsoft YaHei"/>
          <w:b w:val="0"/>
          <w:color w:val="1F2A44"/>
          <w:sz w:val="19"/>
        </w:rPr>
        <w:t>组织身份与权限决定它能做什么，企业上下文决定它知道什么，托管运行决定它怎么工作，协作空间与安全中心负责协同与边界。</w:t>
      </w:r>
    </w:p>
    <w:p>
      <w:pPr>
        <w:spacing w:after="30"/>
        <w:ind w:left="255" w:hanging="198"/>
      </w:pPr>
      <w:r>
        <w:rPr>
          <w:rFonts w:ascii="Microsoft YaHei" w:hAnsi="Microsoft YaHei" w:eastAsia="Microsoft YaHei"/>
          <w:b/>
          <w:color w:val="C2410C"/>
          <w:sz w:val="19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19"/>
        </w:rPr>
        <w:t>落地方法：先选人与备数据，再建企业级上下文。</w:t>
      </w:r>
      <w:r>
        <w:rPr>
          <w:rFonts w:ascii="Microsoft YaHei" w:hAnsi="Microsoft YaHei" w:eastAsia="Microsoft YaHei"/>
          <w:b w:val="0"/>
          <w:color w:val="1F2A44"/>
          <w:sz w:val="19"/>
        </w:rPr>
        <w:t>组织上按“岗位拆解 → 员工认领 → 提交技能 → 评审回收”，把个人经验沉淀为企业能力。</w:t>
      </w:r>
    </w:p>
    <w:p>
      <w:pPr>
        <w:keepNext/>
        <w:pBdr>
          <w:bottom w:val="single" w:sz="4" w:space="2" w:color="D5DBE6"/>
        </w:pBdr>
        <w:spacing w:before="140" w:after="60"/>
      </w:pPr>
      <w:r>
        <w:rPr>
          <w:rFonts w:ascii="Microsoft YaHei" w:hAnsi="Microsoft YaHei" w:eastAsia="Microsoft YaHei"/>
          <w:b/>
          <w:color w:val="C2410C"/>
          <w:sz w:val="24"/>
        </w:rPr>
        <w:t xml:space="preserve">二  </w:t>
      </w:r>
      <w:r>
        <w:rPr>
          <w:rFonts w:ascii="Microsoft YaHei" w:hAnsi="Microsoft YaHei" w:eastAsia="Microsoft YaHei"/>
          <w:b/>
          <w:color w:val="0F1F3D"/>
          <w:sz w:val="24"/>
        </w:rPr>
        <w:t>对凯莱英的价值</w:t>
      </w:r>
    </w:p>
    <w:tbl>
      <w:tblPr>
        <w:tblW w:w="9752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474"/>
        <w:gridCol w:w="8278"/>
      </w:tblGrid>
      <w:tr>
        <w:trPr>
          <w:cantSplit/>
          <w:tblHeader/>
        </w:trPr>
        <w:tc>
          <w:tcPr>
            <w:tcW w:type="dxa" w:w="147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方向</w:t>
            </w:r>
          </w:p>
        </w:tc>
        <w:tc>
          <w:tcPr>
            <w:tcW w:type="dxa" w:w="8277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价值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数字员工</w:t>
            </w:r>
          </w:p>
        </w:tc>
        <w:tc>
          <w:tcPr>
            <w:tcW w:type="dxa" w:w="827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先承接高重复、规则清晰的文书与协同工作；其身份、授权与追溯机制与 GMP 管理逻辑一致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办公效率</w:t>
            </w:r>
          </w:p>
        </w:tc>
        <w:tc>
          <w:tcPr>
            <w:tcW w:type="dxa" w:w="827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会议纪要与待办闭环是最直接的提效点（阿里后台数据：凯莱英钉钉年会议量约 10 万场）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企业数据库</w:t>
            </w:r>
          </w:p>
        </w:tc>
        <w:tc>
          <w:tcPr>
            <w:tcW w:type="dxa" w:w="827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钉钉多年沉淀的文档、群聊与会议形成企业知识图谱，解决“AI 不懂凯莱英”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项目数据库</w:t>
            </w:r>
          </w:p>
        </w:tc>
        <w:tc>
          <w:tcPr>
            <w:tcW w:type="dxa" w:w="827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技术转移、Campaign、偏差与客户沟通经验按项目沉淀，不再随人流失，新人可快速接手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知识库地基</w:t>
            </w:r>
          </w:p>
        </w:tc>
        <w:tc>
          <w:tcPr>
            <w:tcW w:type="dxa" w:w="8278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为文件审核、批记录审核辅助、报告起草、培训问答等后续功能打基础</w:t>
            </w:r>
          </w:p>
        </w:tc>
      </w:tr>
    </w:tbl>
    <w:p>
      <w:pPr>
        <w:spacing w:after="0" w:line="144" w:lineRule="auto"/>
      </w:pPr>
    </w:p>
    <w:tbl>
      <w:tblPr>
        <w:tblW w:w="9752" w:type="dxa"/>
        <w:jc w:val="center"/>
        <w:tblLayout w:type="fixed"/>
        <w:tblCellMar>
          <w:top w:w="80" w:type="dxa"/>
          <w:left w:w="150" w:type="dxa"/>
          <w:bottom w:w="80" w:type="dxa"/>
          <w:right w:w="150" w:type="dxa"/>
        </w:tblCellMar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val="clear" w:color="auto" w:fill="FFF5EE"/>
          </w:tcPr>
          <w:p>
            <w:pPr>
              <w:spacing w:after="0" w:line="317" w:lineRule="auto"/>
            </w:pPr>
            <w:r/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>同行参照：</w:t>
            </w:r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某医药企业把过去三年审核中的常见错误提炼为规则集，用于验证方案、验证报告与分析方法文件审核，运行中持续沉淀新规则，并已扩展至批记录审核辅助。启示是关键不在模型，而在把经验变成可执行的规则。</w:t>
            </w:r>
          </w:p>
        </w:tc>
      </w:tr>
    </w:tbl>
    <w:p>
      <w:pPr>
        <w:spacing w:after="0" w:line="144" w:lineRule="auto"/>
      </w:pPr>
    </w:p>
    <w:p>
      <w:pPr>
        <w:keepNext/>
        <w:pBdr>
          <w:bottom w:val="single" w:sz="4" w:space="2" w:color="D5DBE6"/>
        </w:pBdr>
        <w:spacing w:before="140" w:after="60"/>
      </w:pPr>
      <w:r>
        <w:rPr>
          <w:rFonts w:ascii="Microsoft YaHei" w:hAnsi="Microsoft YaHei" w:eastAsia="Microsoft YaHei"/>
          <w:b/>
          <w:color w:val="C2410C"/>
          <w:sz w:val="24"/>
        </w:rPr>
        <w:t xml:space="preserve">三  </w:t>
      </w:r>
      <w:r>
        <w:rPr>
          <w:rFonts w:ascii="Microsoft YaHei" w:hAnsi="Microsoft YaHei" w:eastAsia="Microsoft YaHei"/>
          <w:b/>
          <w:color w:val="0F1F3D"/>
          <w:sz w:val="24"/>
        </w:rPr>
        <w:t>长处与短处</w:t>
      </w:r>
    </w:p>
    <w:tbl>
      <w:tblPr>
        <w:tblW w:w="9752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val="clear" w:color="auto" w:fill="E7F3EC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长处</w:t>
            </w:r>
          </w:p>
        </w:tc>
        <w:tc>
          <w:tcPr>
            <w:tcW w:type="dxa" w:w="4876"/>
            <w:shd w:val="clear" w:color="auto" w:fill="FBEAE3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短处</w:t>
            </w:r>
          </w:p>
        </w:tc>
      </w:tr>
      <w:tr>
        <w:trPr>
          <w:cantSplit/>
        </w:trPr>
        <w:tc>
          <w:tcPr>
            <w:tcW w:type="dxa" w:w="4876"/>
            <w:vAlign w:val="top"/>
          </w:tcPr>
          <w:p>
            <w:pPr>
              <w:spacing w:after="40" w:line="276" w:lineRule="auto"/>
              <w:ind w:left="181" w:hanging="181"/>
            </w:pPr>
            <w:r/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 xml:space="preserve">▪ </w:t>
            </w:r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与钉钉生态天然匹配：</w:t>
            </w:r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入口内置、无需切换系统，权限直接继承</w:t>
            </w:r>
          </w:p>
          <w:p>
            <w:pPr>
              <w:spacing w:after="40" w:line="276" w:lineRule="auto"/>
              <w:ind w:left="181" w:hanging="181"/>
            </w:pPr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 xml:space="preserve">▪ </w:t>
            </w:r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已有沉淀可直接利用：</w:t>
            </w:r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钉钉中的文档、群聊与会议即是现成语料</w:t>
            </w:r>
          </w:p>
          <w:p>
            <w:pPr>
              <w:spacing w:after="40" w:line="276" w:lineRule="auto"/>
              <w:ind w:left="181" w:hanging="181"/>
            </w:pPr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 xml:space="preserve">▪ </w:t>
            </w:r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推广顺畅、阻力小：</w:t>
            </w:r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在员工已习惯的工具中增加能力</w:t>
            </w:r>
          </w:p>
          <w:p>
            <w:pPr>
              <w:spacing w:after="40" w:line="276" w:lineRule="auto"/>
              <w:ind w:left="181" w:hanging="181"/>
            </w:pPr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 xml:space="preserve">▪ </w:t>
            </w:r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技术全栈、迭代快：</w:t>
            </w:r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芯片、云、模型与应用一体</w:t>
            </w:r>
          </w:p>
          <w:p>
            <w:pPr>
              <w:spacing w:after="40" w:line="276" w:lineRule="auto"/>
              <w:ind w:left="181" w:hanging="181"/>
            </w:pPr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 xml:space="preserve">▪ </w:t>
            </w:r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方法论完整：</w:t>
            </w:r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有岗位拆解到能力回收的体系，以及医药行业团队与案例</w:t>
            </w:r>
          </w:p>
        </w:tc>
        <w:tc>
          <w:tcPr>
            <w:tcW w:type="dxa" w:w="4876"/>
            <w:vAlign w:val="top"/>
          </w:tcPr>
          <w:p>
            <w:pPr>
              <w:spacing w:after="40" w:line="276" w:lineRule="auto"/>
              <w:ind w:left="181" w:hanging="181"/>
            </w:pPr>
            <w:r/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 xml:space="preserve">▪ </w:t>
            </w:r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重心在办公而非生产：</w:t>
            </w:r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DCS 数据、设备预测、工艺优化无落地方案</w:t>
            </w:r>
          </w:p>
          <w:p>
            <w:pPr>
              <w:spacing w:after="40" w:line="276" w:lineRule="auto"/>
              <w:ind w:left="181" w:hanging="181"/>
            </w:pPr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 xml:space="preserve">▪ </w:t>
            </w:r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GMP 验证支持不足：</w:t>
            </w:r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未涉及计算机化系统验证与电子记录合规</w:t>
            </w:r>
          </w:p>
          <w:p>
            <w:pPr>
              <w:spacing w:after="40" w:line="276" w:lineRule="auto"/>
              <w:ind w:left="181" w:hanging="181"/>
            </w:pPr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 xml:space="preserve">▪ </w:t>
            </w:r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部署与数据驻留待确认：</w:t>
            </w:r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默认公有云，客户数据隔离与是否用于训练须确认</w:t>
            </w:r>
          </w:p>
          <w:p>
            <w:pPr>
              <w:spacing w:after="40" w:line="276" w:lineRule="auto"/>
              <w:ind w:left="181" w:hanging="181"/>
            </w:pPr>
            <w:r>
              <w:rPr>
                <w:rFonts w:ascii="Microsoft YaHei" w:hAnsi="Microsoft YaHei" w:eastAsia="Microsoft YaHei"/>
                <w:b/>
                <w:color w:val="C2410C"/>
                <w:sz w:val="18"/>
              </w:rPr>
              <w:t xml:space="preserve">▪ </w:t>
            </w:r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产品仍在快速变化：</w:t>
            </w:r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企业上下文 9 月刚发布，需小范围验证</w:t>
            </w:r>
          </w:p>
        </w:tc>
      </w:tr>
    </w:tbl>
    <w:p>
      <w:pPr>
        <w:spacing w:after="0" w:line="144" w:lineRule="auto"/>
      </w:pPr>
    </w:p>
    <w:p>
      <w:pPr>
        <w:keepNext/>
        <w:pBdr>
          <w:bottom w:val="single" w:sz="4" w:space="2" w:color="D5DBE6"/>
        </w:pBdr>
        <w:spacing w:before="140" w:after="60"/>
      </w:pPr>
      <w:r>
        <w:rPr>
          <w:rFonts w:ascii="Microsoft YaHei" w:hAnsi="Microsoft YaHei" w:eastAsia="Microsoft YaHei"/>
          <w:b/>
          <w:color w:val="C2410C"/>
          <w:sz w:val="24"/>
        </w:rPr>
        <w:t xml:space="preserve">四  </w:t>
      </w:r>
      <w:r>
        <w:rPr>
          <w:rFonts w:ascii="Microsoft YaHei" w:hAnsi="Microsoft YaHei" w:eastAsia="Microsoft YaHei"/>
          <w:b/>
          <w:color w:val="0F1F3D"/>
          <w:sz w:val="24"/>
        </w:rPr>
        <w:t>数字员工启动思路：三层知识库 + 知识图谱 + 技能</w:t>
      </w:r>
    </w:p>
    <w:tbl>
      <w:tblPr>
        <w:tblW w:w="9752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927"/>
        <w:gridCol w:w="7824"/>
      </w:tblGrid>
      <w:tr>
        <w:trPr>
          <w:cantSplit/>
          <w:tblHeader/>
        </w:trPr>
        <w:tc>
          <w:tcPr>
            <w:tcW w:type="dxa" w:w="1928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层级</w:t>
            </w:r>
          </w:p>
        </w:tc>
        <w:tc>
          <w:tcPr>
            <w:tcW w:type="dxa" w:w="782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FF5EE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数字员工</w:t>
            </w:r>
          </w:p>
        </w:tc>
        <w:tc>
          <w:tcPr>
            <w:tcW w:type="dxa" w:w="7824"/>
            <w:shd w:val="clear" w:color="auto" w:fill="FFF5EE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岗位身份 + 授权范围 + 技能 + 人工确认点 + 审计记录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技能（Skill）</w:t>
            </w:r>
          </w:p>
        </w:tc>
        <w:tc>
          <w:tcPr>
            <w:tcW w:type="dxa" w:w="782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把“老师傅怎么做”变成可执行、可检查、可复用的工作方法包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知识图谱</w:t>
            </w:r>
          </w:p>
        </w:tc>
        <w:tc>
          <w:tcPr>
            <w:tcW w:type="dxa" w:w="782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三层知识库内的实体与关系，支撑关联查询与推理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L3　项目知识库</w:t>
            </w:r>
          </w:p>
        </w:tc>
        <w:tc>
          <w:tcPr>
            <w:tcW w:type="dxa" w:w="782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按客户项目隔离：技术转移资料、工艺与变更、批次摘要、偏差、会议决议与经验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L2　岗位知识库</w:t>
            </w:r>
          </w:p>
        </w:tc>
        <w:tc>
          <w:tcPr>
            <w:tcW w:type="dxa" w:w="782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岗位职责、任务流程、判断规则、所需技能与权限边界</w:t>
            </w:r>
          </w:p>
        </w:tc>
      </w:tr>
      <w:tr>
        <w:trPr>
          <w:cantSplit/>
        </w:trPr>
        <w:tc>
          <w:tcPr>
            <w:tcW w:type="dxa" w:w="192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L1　企业知识库</w:t>
            </w:r>
          </w:p>
        </w:tc>
        <w:tc>
          <w:tcPr>
            <w:tcW w:type="dxa" w:w="782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组织与职责、制度、现行 SOP、法规、术语、设备与通用工艺知识</w:t>
            </w:r>
          </w:p>
        </w:tc>
      </w:tr>
    </w:tbl>
    <w:p>
      <w:pPr>
        <w:spacing w:after="0" w:line="144" w:lineRule="auto"/>
      </w:pPr>
    </w:p>
    <w:p>
      <w:pPr>
        <w:spacing w:after="30"/>
        <w:ind w:left="255" w:hanging="198"/>
      </w:pPr>
      <w:r>
        <w:rPr>
          <w:rFonts w:ascii="Microsoft YaHei" w:hAnsi="Microsoft YaHei" w:eastAsia="Microsoft YaHei"/>
          <w:b/>
          <w:color w:val="C2410C"/>
          <w:sz w:val="19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19"/>
        </w:rPr>
        <w:t>数字员工“入职”</w:t>
      </w:r>
      <w:r>
        <w:rPr>
          <w:rFonts w:ascii="Microsoft YaHei" w:hAnsi="Microsoft YaHei" w:eastAsia="Microsoft YaHei"/>
          <w:b w:val="0"/>
          <w:color w:val="1F2A44"/>
          <w:sz w:val="19"/>
        </w:rPr>
        <w:t>= 读懂 L1（入职手册）+ 绑定 L2（岗位说明书）+ 按授权读取 L3（被分配的项目）+ 配上技能。边界：不签字、不放行、不改 GMP 正式记录、不跨项目引用。</w:t>
      </w:r>
    </w:p>
    <w:p>
      <w:pPr>
        <w:spacing w:after="30"/>
        <w:ind w:left="255" w:hanging="198"/>
      </w:pPr>
      <w:r>
        <w:rPr>
          <w:rFonts w:ascii="Microsoft YaHei" w:hAnsi="Microsoft YaHei" w:eastAsia="Microsoft YaHei"/>
          <w:b/>
          <w:color w:val="C2410C"/>
          <w:sz w:val="19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19"/>
        </w:rPr>
        <w:t>建设分工：</w:t>
      </w:r>
      <w:r>
        <w:rPr>
          <w:rFonts w:ascii="Microsoft YaHei" w:hAnsi="Microsoft YaHei" w:eastAsia="Microsoft YaHei"/>
          <w:b w:val="0"/>
          <w:color w:val="1F2A44"/>
          <w:sz w:val="19"/>
        </w:rPr>
        <w:t>L2 岗位知识库由我方自主启动，资产完全属于凯莱英；L1 与 L3 与阿里共创，在钉钉现有文档上蒸馏并搭建知识图谱。</w:t>
      </w:r>
    </w:p>
    <w:p>
      <w:pPr>
        <w:keepNext/>
        <w:pBdr>
          <w:bottom w:val="single" w:sz="4" w:space="2" w:color="D5DBE6"/>
        </w:pBdr>
        <w:spacing w:before="140" w:after="60"/>
      </w:pPr>
      <w:r>
        <w:rPr>
          <w:rFonts w:ascii="Microsoft YaHei" w:hAnsi="Microsoft YaHei" w:eastAsia="Microsoft YaHei"/>
          <w:b/>
          <w:color w:val="C2410C"/>
          <w:sz w:val="24"/>
        </w:rPr>
        <w:t xml:space="preserve">五  </w:t>
      </w:r>
      <w:r>
        <w:rPr>
          <w:rFonts w:ascii="Microsoft YaHei" w:hAnsi="Microsoft YaHei" w:eastAsia="Microsoft YaHei"/>
          <w:b/>
          <w:color w:val="0F1F3D"/>
          <w:sz w:val="24"/>
        </w:rPr>
        <w:t>实施路径</w:t>
      </w:r>
    </w:p>
    <w:tbl>
      <w:tblPr>
        <w:tblW w:w="9752" w:type="dxa"/>
        <w:jc w:val="center"/>
        <w:tblBorders>
          <w:top w:val="single" w:sz="4" w:space="0" w:color="D5DBE6"/>
          <w:left w:val="nil"/>
          <w:bottom w:val="single" w:sz="4" w:space="0" w:color="D5DBE6"/>
          <w:right w:val="nil"/>
          <w:insideH w:val="single" w:sz="4" w:space="0" w:color="D5DBE6"/>
          <w:insideV w:val="nil"/>
        </w:tblBorders>
        <w:tblLayout w:type="fixed"/>
        <w:tblCellMar>
          <w:top w:w="36" w:type="dxa"/>
          <w:left w:w="80" w:type="dxa"/>
          <w:bottom w:w="36" w:type="dxa"/>
          <w:right w:w="80" w:type="dxa"/>
        </w:tblCellMar>
        <w:tblLook w:firstColumn="1" w:firstRow="1" w:lastColumn="0" w:lastRow="0" w:noHBand="0" w:noVBand="1" w:val="04A0"/>
      </w:tblPr>
      <w:tblGrid>
        <w:gridCol w:w="1474"/>
        <w:gridCol w:w="5443"/>
        <w:gridCol w:w="2835"/>
      </w:tblGrid>
      <w:tr>
        <w:trPr>
          <w:cantSplit/>
          <w:tblHeader/>
        </w:trPr>
        <w:tc>
          <w:tcPr>
            <w:tcW w:type="dxa" w:w="1474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阶段</w:t>
            </w:r>
          </w:p>
        </w:tc>
        <w:tc>
          <w:tcPr>
            <w:tcW w:type="dxa" w:w="5443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关键动作</w:t>
            </w:r>
          </w:p>
        </w:tc>
        <w:tc>
          <w:tcPr>
            <w:tcW w:type="dxa" w:w="2835"/>
            <w:shd w:val="clear" w:color="auto" w:fill="EDF1F7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启动与治理</w:t>
            </w:r>
          </w:p>
        </w:tc>
        <w:tc>
          <w:tcPr>
            <w:tcW w:type="dxa" w:w="5443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组建小组；制定数据分级与准入规则；盘点钉钉知识资产；确认部署方式与合同条款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小组、规则、资产清单、合作条款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知识地基</w:t>
            </w:r>
          </w:p>
        </w:tc>
        <w:tc>
          <w:tcPr>
            <w:tcW w:type="dxa" w:w="5443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首批 5 个岗位卡与技能卡；企业知识库 v1（非敏感范围）；1 个试点项目知识库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岗位卡、技能卡、知识库、问答验证集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数字员工试点</w:t>
            </w:r>
          </w:p>
        </w:tc>
        <w:tc>
          <w:tcPr>
            <w:tcW w:type="dxa" w:w="5443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3–4 个数字员工人机协同运行，定期复盘调优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运行记录与效果对比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/>
                <w:color w:val="0F1F3D"/>
                <w:sz w:val="18"/>
              </w:rPr>
              <w:t>扩展与回收</w:t>
            </w:r>
          </w:p>
        </w:tc>
        <w:tc>
          <w:tcPr>
            <w:tcW w:type="dxa" w:w="5443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员工提交技能、评审入库；扩展岗位与项目；评估只读接入业务系统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4" w:lineRule="auto"/>
            </w:pPr>
            <w:r/>
            <w:r>
              <w:rPr>
                <w:rFonts w:ascii="Microsoft YaHei" w:hAnsi="Microsoft YaHei" w:eastAsia="Microsoft YaHei"/>
                <w:b w:val="0"/>
                <w:color w:val="1F2A44"/>
                <w:sz w:val="18"/>
              </w:rPr>
              <w:t>技能库与扩展清单</w:t>
            </w:r>
          </w:p>
        </w:tc>
      </w:tr>
    </w:tbl>
    <w:p>
      <w:pPr>
        <w:spacing w:after="0" w:line="144" w:lineRule="auto"/>
      </w:pPr>
    </w:p>
    <w:p>
      <w:pPr>
        <w:spacing w:after="30"/>
        <w:ind w:left="255" w:hanging="198"/>
      </w:pPr>
      <w:r>
        <w:rPr>
          <w:rFonts w:ascii="Microsoft YaHei" w:hAnsi="Microsoft YaHei" w:eastAsia="Microsoft YaHei"/>
          <w:b/>
          <w:color w:val="C2410C"/>
          <w:sz w:val="19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19"/>
        </w:rPr>
        <w:t>首批岗位：</w:t>
      </w:r>
      <w:r>
        <w:rPr>
          <w:rFonts w:ascii="Microsoft YaHei" w:hAnsi="Microsoft YaHei" w:eastAsia="Microsoft YaHei"/>
          <w:b w:val="0"/>
          <w:color w:val="1F2A44"/>
          <w:sz w:val="19"/>
        </w:rPr>
        <w:t>车间主任 / 生产管理、生产工艺工程师、文件管理与审核、培训专员、项目经理。</w:t>
      </w:r>
    </w:p>
    <w:p>
      <w:pPr>
        <w:spacing w:after="30"/>
        <w:ind w:left="255" w:hanging="198"/>
      </w:pPr>
      <w:r>
        <w:rPr>
          <w:rFonts w:ascii="Microsoft YaHei" w:hAnsi="Microsoft YaHei" w:eastAsia="Microsoft YaHei"/>
          <w:b/>
          <w:color w:val="C2410C"/>
          <w:sz w:val="19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19"/>
        </w:rPr>
        <w:t>岗位知识库编写：</w:t>
      </w:r>
      <w:r>
        <w:rPr>
          <w:rFonts w:ascii="Microsoft YaHei" w:hAnsi="Microsoft YaHei" w:eastAsia="Microsoft YaHei"/>
          <w:b w:val="0"/>
          <w:color w:val="1F2A44"/>
          <w:sz w:val="19"/>
        </w:rPr>
        <w:t>访谈 → 工作样本 → 任务清单 → 分类（AI 可做 / 人机协同 / 必须人做）→ 流程拆解 → 经验提炼 → 技能卡 → 评估用例 → 评审入库。</w:t>
      </w:r>
    </w:p>
    <w:p>
      <w:pPr>
        <w:spacing w:after="30"/>
        <w:ind w:left="255" w:hanging="198"/>
      </w:pPr>
      <w:r>
        <w:rPr>
          <w:rFonts w:ascii="Microsoft YaHei" w:hAnsi="Microsoft YaHei" w:eastAsia="Microsoft YaHei"/>
          <w:b/>
          <w:color w:val="C2410C"/>
          <w:sz w:val="19"/>
        </w:rPr>
        <w:t xml:space="preserve">▪ </w:t>
      </w:r>
      <w:r>
        <w:rPr>
          <w:rFonts w:ascii="Microsoft YaHei" w:hAnsi="Microsoft YaHei" w:eastAsia="Microsoft YaHei"/>
          <w:b/>
          <w:color w:val="0F1F3D"/>
          <w:sz w:val="19"/>
        </w:rPr>
        <w:t>小组构成：</w:t>
      </w:r>
      <w:r>
        <w:rPr>
          <w:rFonts w:ascii="Microsoft YaHei" w:hAnsi="Microsoft YaHei" w:eastAsia="Microsoft YaHei"/>
          <w:b w:val="0"/>
          <w:color w:val="1F2A44"/>
          <w:sz w:val="19"/>
        </w:rPr>
        <w:t>专项负责人、2 名知识工程师、各试点岗位资深专家、QA 与 IT 各 1 名；阿里团队配合蒸馏与图谱。</w:t>
      </w:r>
    </w:p>
    <w:sectPr w:rsidR="00FC693F" w:rsidRPr="0006063C" w:rsidSect="00034616">
      <w:footerReference w:type="default" r:id="rId9"/>
      <w:pgSz w:w="11906" w:h="16838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790"/>
        <w:sz w:val="16"/>
      </w:rPr>
      <w:t xml:space="preserve">阿里参访总结与数字员工启动方案（汇报版）　·　第 </w:t>
    </w:r>
    <w:r>
      <w:rPr>
        <w:color w:val="6B7790"/>
        <w:sz w:val="16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B779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Microsoft YaHei" w:hAnsi="Microsoft YaHei" w:eastAsia="Microsoft YaHei"/>
      <w:color w:val="1F2A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