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宋体"/>
          <w:b/>
          <w:color w:val="1F3B66"/>
          <w:sz w:val="34"/>
        </w:rPr>
        <w:t>Lyophilized Product Harvest and Transfer-Out Isolator</w:t>
      </w:r>
    </w:p>
    <w:p>
      <w:pPr>
        <w:spacing w:after="40"/>
        <w:jc w:val="center"/>
      </w:pPr>
      <w:r>
        <w:rPr>
          <w:rFonts w:ascii="Calibri" w:hAnsi="Calibri" w:eastAsia="宋体"/>
          <w:b/>
          <w:sz w:val="24"/>
        </w:rPr>
        <w:t>Process Introduction Video — English Voice-Over Script</w:t>
      </w:r>
    </w:p>
    <w:p>
      <w:pPr>
        <w:spacing w:after="200"/>
        <w:jc w:val="center"/>
      </w:pPr>
      <w:r>
        <w:rPr>
          <w:rFonts w:ascii="Calibri" w:hAnsi="Calibri" w:eastAsia="宋体"/>
          <w:b w:val="0"/>
          <w:color w:val="606060"/>
          <w:sz w:val="18"/>
        </w:rPr>
        <w:t>Version dated 13 September 2026   |   Translated from the Chinese voice-over script</w:t>
      </w:r>
    </w:p>
    <w:p>
      <w:pPr>
        <w:keepNext/>
        <w:spacing w:before="280" w:after="120"/>
      </w:pPr>
      <w:r>
        <w:rPr>
          <w:rFonts w:ascii="Calibri" w:hAnsi="Calibri" w:eastAsia="宋体"/>
          <w:b/>
          <w:color w:val="1F3B66"/>
          <w:sz w:val="24"/>
        </w:rPr>
        <w:t>1.  Voice-Over Script</w:t>
      </w:r>
    </w:p>
    <w:p>
      <w:pPr>
        <w:keepNext/>
        <w:spacing w:before="80" w:after="40"/>
      </w:pPr>
      <w:r>
        <w:rPr>
          <w:rFonts w:ascii="Calibri" w:hAnsi="Calibri" w:eastAsia="宋体"/>
          <w:b w:val="0"/>
          <w:color w:val="444444"/>
          <w:sz w:val="18"/>
        </w:rPr>
        <w:t>Timecodes are cue-in points; narration is written in a third-person descriptive register suited to a customer-facing process video.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8050"/>
      </w:tblGrid>
      <w:tr>
        <w:trPr>
          <w:tblHeader w:val="true"/>
        </w:trPr>
        <w:tc>
          <w:tcPr>
            <w:tcW w:type="dxa" w:w="1361"/>
            <w:shd w:val="clear" w:color="auto" w:fill="1F3B66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Timecode</w:t>
            </w:r>
          </w:p>
        </w:tc>
        <w:tc>
          <w:tcPr>
            <w:tcW w:type="dxa" w:w="8050"/>
            <w:shd w:val="clear" w:color="auto" w:fill="1F3B66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English Voice-Over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 w:val="0"/>
                <w:sz w:val="21"/>
              </w:rPr>
              <w:t>00:20</w:t>
            </w:r>
          </w:p>
        </w:tc>
        <w:tc>
          <w:tcPr>
            <w:tcW w:type="dxa" w:w="8050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A continuous liner of the required length is prepared and fitted onto the bag-out port of the isolator.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2F5F9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 w:val="0"/>
                <w:sz w:val="21"/>
              </w:rPr>
              <w:t>00:50</w:t>
            </w:r>
          </w:p>
        </w:tc>
        <w:tc>
          <w:tcPr>
            <w:tcW w:type="dxa" w:w="8050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The lyophilized product is discharged from the membrane lyophilization tray into a pharmaceutical-grade low-density polyethylene bag. Where necessary, a stainless steel scoop is used to assist product recovery.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 w:val="0"/>
                <w:sz w:val="21"/>
              </w:rPr>
              <w:t>01:20</w:t>
            </w:r>
          </w:p>
        </w:tc>
        <w:tc>
          <w:tcPr>
            <w:tcW w:type="dxa" w:w="8050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The bag is closed and secured with a zip tie.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2F5F9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 w:val="0"/>
                <w:sz w:val="21"/>
              </w:rPr>
              <w:t>01:26</w:t>
            </w:r>
          </w:p>
        </w:tc>
        <w:tc>
          <w:tcPr>
            <w:tcW w:type="dxa" w:w="8050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The outer surface of the polyethylene bag is wiped down.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 w:val="0"/>
                <w:sz w:val="21"/>
              </w:rPr>
              <w:t>01:39</w:t>
            </w:r>
          </w:p>
        </w:tc>
        <w:tc>
          <w:tcPr>
            <w:tcW w:type="dxa" w:w="8050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The sealed bag is passed into the continuous liner mounted on the bag-out port.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2F5F9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 w:val="0"/>
                <w:sz w:val="21"/>
              </w:rPr>
              <w:t>01:50</w:t>
            </w:r>
          </w:p>
        </w:tc>
        <w:tc>
          <w:tcPr>
            <w:tcW w:type="dxa" w:w="8050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The required length of continuous liner is drawn out.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 w:val="0"/>
                <w:sz w:val="21"/>
              </w:rPr>
              <w:t>02:03</w:t>
            </w:r>
          </w:p>
        </w:tc>
        <w:tc>
          <w:tcPr>
            <w:tcW w:type="dxa" w:w="8050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The continuous liner is crimp-sealed and severed using a Dover CrimpLoc tool.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2F5F9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 w:val="0"/>
                <w:sz w:val="21"/>
              </w:rPr>
              <w:t>02:54</w:t>
            </w:r>
          </w:p>
        </w:tc>
        <w:tc>
          <w:tcPr>
            <w:tcW w:type="dxa" w:w="8050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The bagged product is placed into an aluminum foil bag.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 w:val="0"/>
                <w:sz w:val="21"/>
              </w:rPr>
              <w:t>03:00</w:t>
            </w:r>
          </w:p>
        </w:tc>
        <w:tc>
          <w:tcPr>
            <w:tcW w:type="dxa" w:w="8050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Desiccant is added as required.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2F5F9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 w:val="0"/>
                <w:sz w:val="21"/>
              </w:rPr>
              <w:t>03:12</w:t>
            </w:r>
          </w:p>
        </w:tc>
        <w:tc>
          <w:tcPr>
            <w:tcW w:type="dxa" w:w="8050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The foil bag is heat-sealed.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 w:val="0"/>
                <w:sz w:val="21"/>
              </w:rPr>
              <w:t>03:34</w:t>
            </w:r>
          </w:p>
        </w:tc>
        <w:tc>
          <w:tcPr>
            <w:tcW w:type="dxa" w:w="8050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The sealed package is placed into an HDPE drum.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2F5F9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 w:val="0"/>
                <w:sz w:val="21"/>
              </w:rPr>
              <w:t>03:49</w:t>
            </w:r>
          </w:p>
        </w:tc>
        <w:tc>
          <w:tcPr>
            <w:tcW w:type="dxa" w:w="8050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[Production note — not voiced] End of voice-over; remaining footage to be trimmed.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Calibri" w:hAnsi="Calibri" w:eastAsia="宋体"/>
          <w:b/>
          <w:color w:val="1F3B66"/>
          <w:sz w:val="24"/>
        </w:rPr>
        <w:t>2.  Bilingual Reference (for internal review)</w:t>
      </w:r>
    </w:p>
    <w:p>
      <w:pPr>
        <w:keepNext/>
        <w:spacing w:before="80" w:after="40"/>
      </w:pPr>
      <w:r>
        <w:rPr>
          <w:rFonts w:ascii="Calibri" w:hAnsi="Calibri" w:eastAsia="宋体"/>
          <w:b w:val="0"/>
          <w:color w:val="444444"/>
          <w:sz w:val="18"/>
        </w:rPr>
        <w:t>Provided so that process owners can verify the English against the approved Chinese wording line by line.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04"/>
        <w:gridCol w:w="3458"/>
        <w:gridCol w:w="4649"/>
      </w:tblGrid>
      <w:tr>
        <w:trPr>
          <w:tblHeader w:val="true"/>
        </w:trPr>
        <w:tc>
          <w:tcPr>
            <w:tcW w:type="dxa" w:w="1304"/>
            <w:shd w:val="clear" w:color="auto" w:fill="1F3B66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Timecode</w:t>
            </w:r>
          </w:p>
        </w:tc>
        <w:tc>
          <w:tcPr>
            <w:tcW w:type="dxa" w:w="3458"/>
            <w:shd w:val="clear" w:color="auto" w:fill="1F3B66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Chinese Source</w:t>
            </w:r>
          </w:p>
        </w:tc>
        <w:tc>
          <w:tcPr>
            <w:tcW w:type="dxa" w:w="4649"/>
            <w:shd w:val="clear" w:color="auto" w:fill="1F3B66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English Voice-Over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 w:val="0"/>
                <w:sz w:val="21"/>
              </w:rPr>
              <w:t>00:20</w:t>
            </w:r>
          </w:p>
        </w:tc>
        <w:tc>
          <w:tcPr>
            <w:tcW w:type="dxa" w:w="3458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按需准备一定长度的连续性塑料袋，安装在隔离器的袋出筒上</w:t>
            </w:r>
          </w:p>
        </w:tc>
        <w:tc>
          <w:tcPr>
            <w:tcW w:type="dxa" w:w="464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A continuous liner of the required length is prepared and fitted onto the bag-out port of the isolator.</w:t>
            </w:r>
          </w:p>
        </w:tc>
      </w:tr>
      <w:tr>
        <w:trPr>
          <w:cantSplit w:val="true"/>
        </w:trPr>
        <w:tc>
          <w:tcPr>
            <w:tcW w:type="dxa" w:w="1304"/>
            <w:shd w:val="clear" w:color="auto" w:fill="F2F5F9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 w:val="0"/>
                <w:sz w:val="21"/>
              </w:rPr>
              <w:t>00:50</w:t>
            </w:r>
          </w:p>
        </w:tc>
        <w:tc>
          <w:tcPr>
            <w:tcW w:type="dxa" w:w="3458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将冻干膜盒中的产品倒入药用级低密度聚乙烯袋中，必要时可以使用不锈钢铲子辅助收料</w:t>
            </w:r>
          </w:p>
        </w:tc>
        <w:tc>
          <w:tcPr>
            <w:tcW w:type="dxa" w:w="4649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The lyophilized product is discharged from the membrane lyophilization tray into a pharmaceutical-grade low-density polyethylene bag. Where necessary, a stainless steel scoop is used to assist product recovery.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 w:val="0"/>
                <w:sz w:val="21"/>
              </w:rPr>
              <w:t>01:20</w:t>
            </w:r>
          </w:p>
        </w:tc>
        <w:tc>
          <w:tcPr>
            <w:tcW w:type="dxa" w:w="3458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拉扣封口</w:t>
            </w:r>
          </w:p>
        </w:tc>
        <w:tc>
          <w:tcPr>
            <w:tcW w:type="dxa" w:w="464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The bag is closed and secured with a zip tie.</w:t>
            </w:r>
          </w:p>
        </w:tc>
      </w:tr>
      <w:tr>
        <w:trPr>
          <w:cantSplit w:val="true"/>
        </w:trPr>
        <w:tc>
          <w:tcPr>
            <w:tcW w:type="dxa" w:w="1304"/>
            <w:shd w:val="clear" w:color="auto" w:fill="F2F5F9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 w:val="0"/>
                <w:sz w:val="21"/>
              </w:rPr>
              <w:t>01:26</w:t>
            </w:r>
          </w:p>
        </w:tc>
        <w:tc>
          <w:tcPr>
            <w:tcW w:type="dxa" w:w="3458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清洁PE袋外表面</w:t>
            </w:r>
          </w:p>
        </w:tc>
        <w:tc>
          <w:tcPr>
            <w:tcW w:type="dxa" w:w="4649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The outer surface of the polyethylene bag is wiped down.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 w:val="0"/>
                <w:sz w:val="21"/>
              </w:rPr>
              <w:t>01:39</w:t>
            </w:r>
          </w:p>
        </w:tc>
        <w:tc>
          <w:tcPr>
            <w:tcW w:type="dxa" w:w="3458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将包装袋传入安装在袋出筒的连续性塑料袋中</w:t>
            </w:r>
          </w:p>
        </w:tc>
        <w:tc>
          <w:tcPr>
            <w:tcW w:type="dxa" w:w="464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The sealed bag is passed into the continuous liner mounted on the bag-out port.</w:t>
            </w:r>
          </w:p>
        </w:tc>
      </w:tr>
      <w:tr>
        <w:trPr>
          <w:cantSplit w:val="true"/>
        </w:trPr>
        <w:tc>
          <w:tcPr>
            <w:tcW w:type="dxa" w:w="1304"/>
            <w:shd w:val="clear" w:color="auto" w:fill="F2F5F9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 w:val="0"/>
                <w:sz w:val="21"/>
              </w:rPr>
              <w:t>01:50</w:t>
            </w:r>
          </w:p>
        </w:tc>
        <w:tc>
          <w:tcPr>
            <w:tcW w:type="dxa" w:w="3458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按需量取一定长度的连续性塑料袋</w:t>
            </w:r>
          </w:p>
        </w:tc>
        <w:tc>
          <w:tcPr>
            <w:tcW w:type="dxa" w:w="4649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The required length of continuous liner is drawn out.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 w:val="0"/>
                <w:sz w:val="21"/>
              </w:rPr>
              <w:t>02:03</w:t>
            </w:r>
          </w:p>
        </w:tc>
        <w:tc>
          <w:tcPr>
            <w:tcW w:type="dxa" w:w="3458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用Dover CrimpLoc工具密封剪断连续性塑料袋</w:t>
            </w:r>
          </w:p>
        </w:tc>
        <w:tc>
          <w:tcPr>
            <w:tcW w:type="dxa" w:w="464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The continuous liner is crimp-sealed and severed using a Dover CrimpLoc tool.</w:t>
            </w:r>
          </w:p>
        </w:tc>
      </w:tr>
      <w:tr>
        <w:trPr>
          <w:cantSplit w:val="true"/>
        </w:trPr>
        <w:tc>
          <w:tcPr>
            <w:tcW w:type="dxa" w:w="1304"/>
            <w:shd w:val="clear" w:color="auto" w:fill="F2F5F9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 w:val="0"/>
                <w:sz w:val="21"/>
              </w:rPr>
              <w:t>02:54</w:t>
            </w:r>
          </w:p>
        </w:tc>
        <w:tc>
          <w:tcPr>
            <w:tcW w:type="dxa" w:w="3458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将包装袋放入铝箔袋中</w:t>
            </w:r>
          </w:p>
        </w:tc>
        <w:tc>
          <w:tcPr>
            <w:tcW w:type="dxa" w:w="4649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The bagged product is placed into an aluminum foil bag.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 w:val="0"/>
                <w:sz w:val="21"/>
              </w:rPr>
              <w:t>03:00</w:t>
            </w:r>
          </w:p>
        </w:tc>
        <w:tc>
          <w:tcPr>
            <w:tcW w:type="dxa" w:w="3458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按需放入干燥剂</w:t>
            </w:r>
          </w:p>
        </w:tc>
        <w:tc>
          <w:tcPr>
            <w:tcW w:type="dxa" w:w="464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Desiccant is added as required.</w:t>
            </w:r>
          </w:p>
        </w:tc>
      </w:tr>
      <w:tr>
        <w:trPr>
          <w:cantSplit w:val="true"/>
        </w:trPr>
        <w:tc>
          <w:tcPr>
            <w:tcW w:type="dxa" w:w="1304"/>
            <w:shd w:val="clear" w:color="auto" w:fill="F2F5F9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 w:val="0"/>
                <w:sz w:val="21"/>
              </w:rPr>
              <w:t>03:12</w:t>
            </w:r>
          </w:p>
        </w:tc>
        <w:tc>
          <w:tcPr>
            <w:tcW w:type="dxa" w:w="3458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热封</w:t>
            </w:r>
          </w:p>
        </w:tc>
        <w:tc>
          <w:tcPr>
            <w:tcW w:type="dxa" w:w="4649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The foil bag is heat-sealed.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 w:val="0"/>
                <w:sz w:val="21"/>
              </w:rPr>
              <w:t>03:34</w:t>
            </w:r>
          </w:p>
        </w:tc>
        <w:tc>
          <w:tcPr>
            <w:tcW w:type="dxa" w:w="3458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放入HDPE桶中</w:t>
            </w:r>
          </w:p>
        </w:tc>
        <w:tc>
          <w:tcPr>
            <w:tcW w:type="dxa" w:w="464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The sealed package is placed into an HDPE drum.</w:t>
            </w:r>
          </w:p>
        </w:tc>
      </w:tr>
      <w:tr>
        <w:trPr>
          <w:cantSplit w:val="true"/>
        </w:trPr>
        <w:tc>
          <w:tcPr>
            <w:tcW w:type="dxa" w:w="1304"/>
            <w:shd w:val="clear" w:color="auto" w:fill="F2F5F9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 w:val="0"/>
                <w:sz w:val="21"/>
              </w:rPr>
              <w:t>03:49</w:t>
            </w:r>
          </w:p>
        </w:tc>
        <w:tc>
          <w:tcPr>
            <w:tcW w:type="dxa" w:w="3458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end，后面的视频剪掉即可</w:t>
            </w:r>
          </w:p>
        </w:tc>
        <w:tc>
          <w:tcPr>
            <w:tcW w:type="dxa" w:w="4649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[Production note — not voiced] End of voice-over; remaining footage to be trimmed.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Calibri" w:hAnsi="Calibri" w:eastAsia="宋体"/>
          <w:b/>
          <w:color w:val="1F3B66"/>
          <w:sz w:val="24"/>
        </w:rPr>
        <w:t>3.  Terminology Decisions</w:t>
      </w:r>
    </w:p>
    <w:p>
      <w:pPr>
        <w:keepNext/>
        <w:spacing w:before="80" w:after="40"/>
      </w:pPr>
      <w:r>
        <w:rPr>
          <w:rFonts w:ascii="Calibri" w:hAnsi="Calibri" w:eastAsia="宋体"/>
          <w:b w:val="0"/>
          <w:color w:val="444444"/>
          <w:sz w:val="18"/>
        </w:rPr>
        <w:t>Key equipment and packaging terms rendered with the containment vocabulary used by pharmaceutical customers.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3061"/>
        <w:gridCol w:w="4082"/>
      </w:tblGrid>
      <w:tr>
        <w:trPr>
          <w:tblHeader w:val="true"/>
        </w:trPr>
        <w:tc>
          <w:tcPr>
            <w:tcW w:type="dxa" w:w="2268"/>
            <w:shd w:val="clear" w:color="auto" w:fill="1F3B66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Chinese Term</w:t>
            </w:r>
          </w:p>
        </w:tc>
        <w:tc>
          <w:tcPr>
            <w:tcW w:type="dxa" w:w="3061"/>
            <w:shd w:val="clear" w:color="auto" w:fill="1F3B66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English Term Used</w:t>
            </w:r>
          </w:p>
        </w:tc>
        <w:tc>
          <w:tcPr>
            <w:tcW w:type="dxa" w:w="4082"/>
            <w:shd w:val="clear" w:color="auto" w:fill="1F3B66"/>
          </w:tcPr>
          <w:p>
            <w:pPr>
              <w:spacing w:before="20" w:after="4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Basis / Point to Confirm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冻干收料传出隔离器</w:t>
            </w:r>
          </w:p>
        </w:tc>
        <w:tc>
          <w:tcPr>
            <w:tcW w:type="dxa" w:w="3061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Lyophilized product harvest and transfer-out isolator</w:t>
            </w:r>
          </w:p>
        </w:tc>
        <w:tc>
          <w:tcPr>
            <w:tcW w:type="dxa" w:w="4082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Containment enclosure for discharging bulk lyophilized product and transferring it out.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连续性塑料袋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Continuous liner</w:t>
            </w:r>
          </w:p>
        </w:tc>
        <w:tc>
          <w:tcPr>
            <w:tcW w:type="dxa" w:w="4082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Industry-standard containment term for continuous tubular liner film.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袋出筒</w:t>
            </w:r>
          </w:p>
        </w:tc>
        <w:tc>
          <w:tcPr>
            <w:tcW w:type="dxa" w:w="3061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Bag-out port</w:t>
            </w:r>
          </w:p>
        </w:tc>
        <w:tc>
          <w:tcPr>
            <w:tcW w:type="dxa" w:w="4082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The liner-mounting port on the isolator, also referred to as a continuous-liner port.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冻干膜盒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Membrane lyophilization tray</w:t>
            </w:r>
          </w:p>
        </w:tc>
        <w:tc>
          <w:tcPr>
            <w:tcW w:type="dxa" w:w="4082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Membrane-covered bulk lyophilization tray; confirm against the actual tray brand shown on screen.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药用级低密度聚乙烯袋</w:t>
            </w:r>
          </w:p>
        </w:tc>
        <w:tc>
          <w:tcPr>
            <w:tcW w:type="dxa" w:w="3061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Pharmaceutical-grade low-density polyethylene (LDPE) bag</w:t>
            </w:r>
          </w:p>
        </w:tc>
        <w:tc>
          <w:tcPr>
            <w:tcW w:type="dxa" w:w="4082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First mention spells out LDPE; later mentions use “polyethylene bag”.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拉扣封口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Closed and secured with a zip tie</w:t>
            </w:r>
          </w:p>
        </w:tc>
        <w:tc>
          <w:tcPr>
            <w:tcW w:type="dxa" w:w="4082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Confirm the closure device shown on screen (zip tie vs. zip-lock closure).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密封剪断</w:t>
            </w:r>
          </w:p>
        </w:tc>
        <w:tc>
          <w:tcPr>
            <w:tcW w:type="dxa" w:w="3061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Crimp-sealed and severed</w:t>
            </w:r>
          </w:p>
        </w:tc>
        <w:tc>
          <w:tcPr>
            <w:tcW w:type="dxa" w:w="4082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Matches Dover CrimpLoc tool terminology.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热封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Heat-sealed</w:t>
            </w:r>
          </w:p>
        </w:tc>
        <w:tc>
          <w:tcPr>
            <w:tcW w:type="dxa" w:w="4082"/>
            <w:shd w:val="clear" w:color="auto" w:fill="F2F5F9"/>
          </w:tcPr>
          <w:p>
            <w:pPr>
              <w:spacing w:before="20" w:after="40"/>
              <w:jc w:val="left"/>
            </w:pPr>
            <w:r>
              <w:rPr>
                <w:rFonts w:ascii="Calibri" w:hAnsi="Calibri" w:eastAsia="宋体"/>
                <w:b w:val="0"/>
                <w:sz w:val="21"/>
              </w:rPr>
              <w:t>Applies to the aluminum foil outer bag.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