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center"/>
      </w:pPr>
      <w:r>
        <w:rPr>
          <w:rFonts w:ascii="Microsoft YaHei" w:hAnsi="Microsoft YaHei" w:eastAsia="Microsoft YaHei"/>
          <w:b/>
          <w:color w:val="000000"/>
          <w:sz w:val="36"/>
        </w:rPr>
        <w:t>AI 辅助生产推进机制建议</w:t>
      </w:r>
    </w:p>
    <w:p>
      <w:pPr>
        <w:spacing w:after="40" w:line="288" w:lineRule="auto"/>
      </w:pPr>
      <w:r>
        <w:rPr>
          <w:rFonts w:ascii="Microsoft YaHei" w:hAnsi="Microsoft YaHei" w:eastAsia="Microsoft YaHei"/>
          <w:b/>
          <w:color w:val="595959"/>
          <w:sz w:val="21"/>
        </w:rPr>
        <w:t>呈报：</w:t>
      </w:r>
      <w:r>
        <w:rPr>
          <w:rFonts w:ascii="Microsoft YaHei" w:hAnsi="Microsoft YaHei" w:eastAsia="Microsoft YaHei"/>
          <w:b w:val="0"/>
          <w:color w:val="595959"/>
          <w:sz w:val="21"/>
        </w:rPr>
        <w:t>集团生产管理层</w:t>
      </w:r>
    </w:p>
    <w:p>
      <w:pPr>
        <w:spacing w:after="40" w:line="288" w:lineRule="auto"/>
      </w:pPr>
      <w:r>
        <w:rPr>
          <w:rFonts w:ascii="Microsoft YaHei" w:hAnsi="Microsoft YaHei" w:eastAsia="Microsoft YaHei"/>
          <w:b/>
          <w:color w:val="595959"/>
          <w:sz w:val="21"/>
        </w:rPr>
        <w:t>事由：</w:t>
      </w:r>
      <w:r>
        <w:rPr>
          <w:rFonts w:ascii="Microsoft YaHei" w:hAnsi="Microsoft YaHei" w:eastAsia="Microsoft YaHei"/>
          <w:b w:val="0"/>
          <w:color w:val="595959"/>
          <w:sz w:val="21"/>
        </w:rPr>
        <w:t>汇报 AI 辅助生产的推进思路与阶段安排，并申请三项机制支持</w:t>
      </w:r>
    </w:p>
    <w:p>
      <w:pPr>
        <w:spacing w:after="40" w:line="288" w:lineRule="auto"/>
      </w:pPr>
      <w:r>
        <w:rPr>
          <w:rFonts w:ascii="Microsoft YaHei" w:hAnsi="Microsoft YaHei" w:eastAsia="Microsoft YaHei"/>
          <w:b/>
          <w:color w:val="595959"/>
          <w:sz w:val="21"/>
        </w:rPr>
        <w:t>日期：</w:t>
      </w:r>
      <w:r>
        <w:rPr>
          <w:rFonts w:ascii="Microsoft YaHei" w:hAnsi="Microsoft YaHei" w:eastAsia="Microsoft YaHei"/>
          <w:b w:val="0"/>
          <w:color w:val="595959"/>
          <w:sz w:val="21"/>
        </w:rPr>
        <w:t>2026 年 9 月</w:t>
      </w:r>
    </w:p>
    <w:p>
      <w:pPr>
        <w:pBdr>
          <w:top w:val="single" w:sz="6" w:space="1" w:color="BFBFBF"/>
        </w:pBdr>
        <w:spacing w:before="180" w:after="20"/>
      </w:pP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一、背景与推进方式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按照集团关于推进 AI 在生产中应用的要求，现阶段拟采用“先低投入验证、再按结果申请资源”的方式推进：优先完成生产场景摸底、数据条件评估与外部技术能力比较，在具备明确可行性后再提出试点及投入申请。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初步考虑的方向包括现场视频巡检与设备电子点检、技术转移与工艺审查辅助、生产数据预测与技术报告辅助撰写等，具体范围待场景摸底完成后另行提出。</w:t>
      </w: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二、常规做法的失败风险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同类工作在多数企业推进不下去，原因通常不在技术，而在推进方式。以下五种常规做法均存在明显的失败路径，本方案予以规避。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3061"/>
            <w:shd w:val="clear" w:color="auto" w:fill="EDEFF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常规做法</w:t>
            </w:r>
          </w:p>
        </w:tc>
        <w:tc>
          <w:tcPr>
            <w:tcW w:type="dxa" w:w="5443"/>
            <w:shd w:val="clear" w:color="auto" w:fill="EDEFF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典型结果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成立专项项目组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各方无时间参会，两个月后自然停摆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下发表格开展调研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填报质量差或不予返回，形不成有效结论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先行立项招标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采购周期长，业务侧在见到成果前已失去耐心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先做大而全的整体规划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管理层看不到实物，后续资源难以追加</w:t>
            </w:r>
          </w:p>
        </w:tc>
      </w:tr>
      <w:tr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逐人逐事协商配合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9"/>
              </w:rPr>
              <w:t>推进方被持续消耗，且不具备可持续性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三、本方案的五条设计思路</w:t>
      </w:r>
    </w:p>
    <w:p>
      <w:pPr>
        <w:spacing w:after="80" w:line="336" w:lineRule="auto"/>
        <w:ind w:left="420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机制先行　</w:t>
      </w:r>
      <w:r>
        <w:rPr>
          <w:rFonts w:ascii="Microsoft YaHei" w:hAnsi="Microsoft YaHei" w:eastAsia="Microsoft YaHei"/>
          <w:b w:val="0"/>
          <w:color w:val="1A1A1A"/>
          <w:sz w:val="21"/>
        </w:rPr>
        <w:t>先取得固定汇报窗口、联络员名单与数据查询权限，再启动具体工作，使跨部门推进有稳定依托，不依赖临时协调。</w:t>
      </w:r>
    </w:p>
    <w:p>
      <w:pPr>
        <w:spacing w:after="80" w:line="336" w:lineRule="auto"/>
        <w:ind w:left="420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零增量工时　</w:t>
      </w:r>
      <w:r>
        <w:rPr>
          <w:rFonts w:ascii="Microsoft YaHei" w:hAnsi="Microsoft YaHei" w:eastAsia="Microsoft YaHei"/>
          <w:b w:val="0"/>
          <w:color w:val="1A1A1A"/>
          <w:sz w:val="21"/>
        </w:rPr>
        <w:t>AI 只嵌入既有流程，承担“先出草稿”或“先给提示”的辅助环节，不产生新任务、新记录、新会议，不改变现行操作与签字责任。</w:t>
      </w:r>
    </w:p>
    <w:p>
      <w:pPr>
        <w:spacing w:after="80" w:line="336" w:lineRule="auto"/>
        <w:ind w:left="420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3. 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外部借力　</w:t>
      </w:r>
      <w:r>
        <w:rPr>
          <w:rFonts w:ascii="Microsoft YaHei" w:hAnsi="Microsoft YaHei" w:eastAsia="Microsoft YaHei"/>
          <w:b w:val="0"/>
          <w:color w:val="1A1A1A"/>
          <w:sz w:val="21"/>
        </w:rPr>
        <w:t>利用供应商售前阶段资源完成技术能力探底与首轮验证，前期以技术交流方式开展，不进入采购流程、不发生费用。</w:t>
      </w:r>
    </w:p>
    <w:p>
      <w:pPr>
        <w:spacing w:after="80" w:line="336" w:lineRule="auto"/>
        <w:ind w:left="420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4. 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可见性优先　</w:t>
      </w:r>
      <w:r>
        <w:rPr>
          <w:rFonts w:ascii="Microsoft YaHei" w:hAnsi="Microsoft YaHei" w:eastAsia="Microsoft YaHei"/>
          <w:b w:val="0"/>
          <w:color w:val="1A1A1A"/>
          <w:sz w:val="21"/>
        </w:rPr>
        <w:t>按月形成可查看的阶段成果，宁要每月一个小实物，不做半年一份大报告，使推进状态与问题始终处于可掌握状态。</w:t>
      </w:r>
    </w:p>
    <w:p>
      <w:pPr>
        <w:spacing w:after="80" w:line="336" w:lineRule="auto"/>
        <w:ind w:left="420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5. 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止损明确　</w:t>
      </w:r>
      <w:r>
        <w:rPr>
          <w:rFonts w:ascii="Microsoft YaHei" w:hAnsi="Microsoft YaHei" w:eastAsia="Microsoft YaHei"/>
          <w:b w:val="0"/>
          <w:color w:val="1A1A1A"/>
          <w:sz w:val="21"/>
        </w:rPr>
        <w:t>每个场景事前设定退出条件，连续无实质进展即调整方向，不在已判定不可行的场景上持续投入。</w:t>
      </w: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四、具体方案与阶段产出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整体分五个阶段推进，前两个阶段不发生费用，自试点阶段起按实际范围另行请示所需投入。</w:t>
      </w:r>
    </w:p>
    <w:p>
      <w:pPr>
        <w:spacing w:before="22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阶段一　场景摸底与数据条件评估</w:t>
      </w:r>
      <w:r>
        <w:rPr>
          <w:rFonts w:ascii="Microsoft YaHei" w:hAnsi="Microsoft YaHei" w:eastAsia="Microsoft YaHei"/>
          <w:b w:val="0"/>
          <w:color w:val="595959"/>
          <w:sz w:val="20"/>
        </w:rPr>
        <w:t>（第 1–2 个月）</w:t>
      </w:r>
    </w:p>
    <w:p>
      <w:pPr>
        <w:spacing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主要工作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以一对一现场访谈方式覆盖生产车间及工艺、设备、质量、生产计划等岗位，计 15–20 人次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访谈聚焦具体重复性工作的发生频次、单次耗时与承担岗位，不做概念征询，确保结论可核算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逐系统评估数据可用条件：接口是否具备、历史数据深度、字段完整度、权限开通方式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对涉及客户信息的场景，同步明确脱敏与留痕要求</w:t>
      </w:r>
    </w:p>
    <w:p>
      <w:pPr>
        <w:spacing w:before="80"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阶段产出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生产场景清单，按年度占用工时排序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数据就绪度评估表，分“可直接取用 / 需开发但可行 / 暂不具备”三档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首批可行场景候选 3–5 个，并说明排除其余场景的理由</w:t>
      </w:r>
    </w:p>
    <w:p>
      <w:pPr>
        <w:spacing w:before="22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阶段二　外部技术能力探底</w:t>
      </w:r>
      <w:r>
        <w:rPr>
          <w:rFonts w:ascii="Microsoft YaHei" w:hAnsi="Microsoft YaHei" w:eastAsia="Microsoft YaHei"/>
          <w:b w:val="0"/>
          <w:color w:val="595959"/>
          <w:sz w:val="20"/>
        </w:rPr>
        <w:t>（第 3–4 个月）</w:t>
      </w:r>
    </w:p>
    <w:p>
      <w:pPr>
        <w:spacing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主要工作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按场景方向分类接触国内代表性厂商，每类 3–5 家，覆盖视觉巡检、设备点检与预测性维护、生产数据分析、报告与知识类模型应用等方向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统一发出场景需求说明，要求书面答复四项：制药或化工同类可核实案例、所需数据范围与格式、从启动到见效的最短周期、可否开展小范围验证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组织一次集中技术交流，同日安排多家宣讲，形成横向可比信息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全过程定位为技术交流与信息收集，不承诺采购、不进入招标流程；对外材料仅描述业务问题，不涉及工艺参数与客户信息</w:t>
      </w:r>
    </w:p>
    <w:p>
      <w:pPr>
        <w:spacing w:before="80"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阶段产出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供应商能力对比表，含案例真实性、数据要求、实施周期、报价区间与技术绑定风险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数据要求清单，用于反向校核阶段一的数据评估结论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自建与外采的边界建议，避免后续形成单一供应商依赖</w:t>
      </w:r>
    </w:p>
    <w:p>
      <w:pPr>
        <w:spacing w:before="22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阶段三　小范围试点</w:t>
      </w:r>
      <w:r>
        <w:rPr>
          <w:rFonts w:ascii="Microsoft YaHei" w:hAnsi="Microsoft YaHei" w:eastAsia="Microsoft YaHei"/>
          <w:b w:val="0"/>
          <w:color w:val="595959"/>
          <w:sz w:val="20"/>
        </w:rPr>
        <w:t>（第 5–9 个月）</w:t>
      </w:r>
    </w:p>
    <w:p>
      <w:pPr>
        <w:spacing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主要工作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从候选场景中选取两个：一个流程标准化程度高、见效较快；一个业务价值明显且可控性强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入选场景须同时满足三项条件：数据条件已具备、三个月内可产出实物、失败不影响合规与生产交付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AI 输出一律作为草稿或提示，由岗位人员判断确认，现行审核与签字责任不作调整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建立结果反馈与错误样本回收机制，作为迭代依据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试点期间同步记录使用频次、输出可用率与人工修正比例</w:t>
      </w:r>
    </w:p>
    <w:p>
      <w:pPr>
        <w:spacing w:before="80"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阶段产出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两个可实际演示的应用，含真实输出样张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使用记录与问题清单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试点结论及是否扩展的建议</w:t>
      </w:r>
    </w:p>
    <w:p>
      <w:pPr>
        <w:spacing w:before="22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阶段四　效果量化</w:t>
      </w:r>
      <w:r>
        <w:rPr>
          <w:rFonts w:ascii="Microsoft YaHei" w:hAnsi="Microsoft YaHei" w:eastAsia="Microsoft YaHei"/>
          <w:b w:val="0"/>
          <w:color w:val="595959"/>
          <w:sz w:val="20"/>
        </w:rPr>
        <w:t>（第 9–10 个月）</w:t>
      </w:r>
    </w:p>
    <w:p>
      <w:pPr>
        <w:spacing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主要工作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采用同一工作内容在试点前后的耗时对比口径，取多个真实样本核算，结果可复算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结合使用频次、输出可用率、人工修正比例综合判断实际效果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一并说明未达预期的部分及原因，不作选择性呈现</w:t>
      </w:r>
    </w:p>
    <w:p>
      <w:pPr>
        <w:spacing w:before="80"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阶段产出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效果量化报告，数据可核实、可复算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下一阶段扩展范围与投入申请</w:t>
      </w:r>
    </w:p>
    <w:p>
      <w:pPr>
        <w:spacing w:before="22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阶段五　固化与扩散</w:t>
      </w:r>
      <w:r>
        <w:rPr>
          <w:rFonts w:ascii="Microsoft YaHei" w:hAnsi="Microsoft YaHei" w:eastAsia="Microsoft YaHei"/>
          <w:b w:val="0"/>
          <w:color w:val="595959"/>
          <w:sz w:val="20"/>
        </w:rPr>
        <w:t>（第 10–18 个月）</w:t>
      </w:r>
    </w:p>
    <w:p>
      <w:pPr>
        <w:spacing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主要工作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将验证有效的操作写入现有作业文件，使 AI 环节成为流程组成部分而非附加事项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制作短时长培训内容并嵌入现有培训体系，不单独占用班次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将工具使用与结果反馈纳入相关岗位职责说明，减少对推进方的依赖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各车间培养 1 名联络员，承担日常使用指导与问题收集</w:t>
      </w:r>
    </w:p>
    <w:p>
      <w:pPr>
        <w:spacing w:before="80" w:after="40"/>
        <w:ind w:left="624"/>
      </w:pPr>
      <w:r>
        <w:rPr>
          <w:rFonts w:ascii="Microsoft YaHei" w:hAnsi="Microsoft YaHei" w:eastAsia="Microsoft YaHei"/>
          <w:b/>
          <w:color w:val="595959"/>
          <w:sz w:val="21"/>
        </w:rPr>
        <w:t>阶段产出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相关作业文件与培训材料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可复制场景清单，含适用条件、所需前提与预计周期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具备向其他厂区推广的条件</w:t>
      </w: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五、分层收益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本项工作的收益分三个层次呈现，各层的可见时点与验证方式不同，汇报时按实际取得的层次逐步报告。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1020"/>
            <w:shd w:val="clear" w:color="auto" w:fill="EDEFF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层级</w:t>
            </w:r>
          </w:p>
        </w:tc>
        <w:tc>
          <w:tcPr>
            <w:tcW w:type="dxa" w:w="3061"/>
            <w:shd w:val="clear" w:color="auto" w:fill="EDEFF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收益内容</w:t>
            </w:r>
          </w:p>
        </w:tc>
        <w:tc>
          <w:tcPr>
            <w:tcW w:type="dxa" w:w="1701"/>
            <w:shd w:val="clear" w:color="auto" w:fill="EDEFF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可见时点</w:t>
            </w:r>
          </w:p>
        </w:tc>
        <w:tc>
          <w:tcPr>
            <w:tcW w:type="dxa" w:w="2721"/>
            <w:shd w:val="clear" w:color="auto" w:fill="EDEFF3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验证方式</w:t>
            </w:r>
          </w:p>
        </w:tc>
      </w:tr>
      <w:tr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A1A1A"/>
                <w:sz w:val="18"/>
              </w:rPr>
              <w:t>直接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重复性文档与数据汇编工作耗时下降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试点 2–3 个月内</w:t>
            </w:r>
          </w:p>
        </w:tc>
        <w:tc>
          <w:tcPr>
            <w:tcW w:type="dxa" w:w="272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同一工作内容前后耗时对比，多样本核算</w:t>
            </w:r>
          </w:p>
        </w:tc>
      </w:tr>
      <w:tr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A1A1A"/>
                <w:sz w:val="18"/>
              </w:rPr>
              <w:t>直接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点检与巡检覆盖率提升、漏检减少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试点 3–4 个月内</w:t>
            </w:r>
          </w:p>
        </w:tc>
        <w:tc>
          <w:tcPr>
            <w:tcW w:type="dxa" w:w="272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覆盖点位数与异常发现数的前后对比</w:t>
            </w:r>
          </w:p>
        </w:tc>
      </w:tr>
      <w:tr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A1A1A"/>
                <w:sz w:val="18"/>
              </w:rPr>
              <w:t>间接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技术文件质量一致性提升、返工减少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6–9 个月</w:t>
            </w:r>
          </w:p>
        </w:tc>
        <w:tc>
          <w:tcPr>
            <w:tcW w:type="dxa" w:w="272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返工次数与内外部反馈意见条数统计</w:t>
            </w:r>
          </w:p>
        </w:tc>
      </w:tr>
      <w:tr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A1A1A"/>
                <w:sz w:val="18"/>
              </w:rPr>
              <w:t>间接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问题发现与响应时点提前，降低偏差与损失风险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9–12 个月</w:t>
            </w:r>
          </w:p>
        </w:tc>
        <w:tc>
          <w:tcPr>
            <w:tcW w:type="dxa" w:w="272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提前预警事件数，按保守口径计列</w:t>
            </w:r>
          </w:p>
        </w:tc>
      </w:tr>
      <w:tr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A1A1A"/>
                <w:sz w:val="18"/>
              </w:rPr>
              <w:t>战略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形成面向客户审计与商务谈判的数字化能力证明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12 个月以上</w:t>
            </w:r>
          </w:p>
        </w:tc>
        <w:tc>
          <w:tcPr>
            <w:tcW w:type="dxa" w:w="272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可展示的系统、作业文件与应用案例</w:t>
            </w:r>
          </w:p>
        </w:tc>
      </w:tr>
      <w:tr>
        <w:tc>
          <w:tcPr>
            <w:tcW w:type="dxa" w:w="1020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/>
                <w:color w:val="1A1A1A"/>
                <w:sz w:val="18"/>
              </w:rPr>
              <w:t>战略</w:t>
            </w:r>
          </w:p>
        </w:tc>
        <w:tc>
          <w:tcPr>
            <w:tcW w:type="dxa" w:w="306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数据与知识资产沉淀，形成公司自有能力</w:t>
            </w:r>
          </w:p>
        </w:tc>
        <w:tc>
          <w:tcPr>
            <w:tcW w:type="dxa" w:w="170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持续</w:t>
            </w:r>
          </w:p>
        </w:tc>
        <w:tc>
          <w:tcPr>
            <w:tcW w:type="dxa" w:w="2721"/>
          </w:tcPr>
          <w:p>
            <w:pPr>
              <w:spacing w:after="20" w:line="276" w:lineRule="auto"/>
            </w:pPr>
            <w:r/>
            <w:r>
              <w:rPr>
                <w:rFonts w:ascii="Microsoft YaHei" w:hAnsi="Microsoft YaHei" w:eastAsia="Microsoft YaHei"/>
                <w:b w:val="0"/>
                <w:color w:val="1A1A1A"/>
                <w:sz w:val="18"/>
              </w:rPr>
              <w:t>数据目录完整度、知识库规模、内部掌握人数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Microsoft YaHei" w:hAnsi="Microsoft YaHei" w:eastAsia="Microsoft YaHei"/>
          <w:b/>
          <w:color w:val="1A1A1A"/>
          <w:sz w:val="22"/>
        </w:rPr>
        <w:t>上述收益中，直接收益将以实际样本核算后据实报告；间接与战略收益作为趋势判断呈现，不作无依据的年化放大测算。</w:t>
      </w: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六、请予支持的三项机制事项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为保障上述阶段安排如期开展，恳请在机制层面给予以下三项支持。三项均不涉及预算与人员编制。</w:t>
      </w:r>
    </w:p>
    <w:p>
      <w:pPr>
        <w:spacing w:before="18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（一）　设立固定汇报窗口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在集团生产季度例会中设 15 分钟固定议题，汇报阶段进展与需决策事项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每月提交一页进展报告，内容包括：本月完成事项、主要发现、待解决问题、下月计划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目的：使推进过程持续可见，遇到跨部门问题能及时获得决策</w:t>
      </w:r>
    </w:p>
    <w:p>
      <w:pPr>
        <w:spacing w:before="18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（二）　组建虚拟工作联络网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各生产车间及工艺、设备、质量、信息等相关部门，各指定 1 名联络员，兼职承担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联络员职责纳入现有岗位职责说明，不新增编制、不脱离本职工作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目的：使跨部门配合有固定对接人，避免逐事逐人协商，降低沟通成本</w:t>
      </w:r>
    </w:p>
    <w:p>
      <w:pPr>
        <w:spacing w:before="180" w:after="60"/>
        <w:ind w:left="420"/>
      </w:pPr>
      <w:r>
        <w:rPr>
          <w:rFonts w:ascii="Microsoft YaHei" w:hAnsi="Microsoft YaHei" w:eastAsia="Microsoft YaHei"/>
          <w:b/>
          <w:color w:val="000000"/>
          <w:sz w:val="23"/>
        </w:rPr>
        <w:t>（三）　授予数据调阅权限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开放 DCS、EBR、LIMS、QMS、CMMS、SAP 等系统的只读查询权限及相关文档库访问权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仅用于场景可行性分析与数据条件评估，不涉及任何数据修改或对外传输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涉及客户信息的内容按现行保密要求脱敏；具体权限范围与留痕方式，建议由质量与信息部门共同确认后执行</w:t>
      </w:r>
    </w:p>
    <w:p>
      <w:pPr>
        <w:spacing w:after="60" w:line="324" w:lineRule="auto"/>
        <w:ind w:left="850"/>
      </w:pPr>
      <w:r>
        <w:rPr>
          <w:rFonts w:ascii="Microsoft YaHei" w:hAnsi="Microsoft YaHei" w:eastAsia="Microsoft YaHei"/>
          <w:b w:val="0"/>
          <w:color w:val="1A1A1A"/>
          <w:sz w:val="21"/>
        </w:rPr>
        <w:t>— 目的：明确数据可用边界，避免论证阶段反复申请、逐次审批</w:t>
      </w:r>
    </w:p>
    <w:p>
      <w:pPr>
        <w:spacing w:before="280" w:after="100"/>
      </w:pPr>
      <w:r>
        <w:rPr>
          <w:rFonts w:ascii="Microsoft YaHei" w:hAnsi="Microsoft YaHei" w:eastAsia="Microsoft YaHei"/>
          <w:b/>
          <w:color w:val="000000"/>
          <w:sz w:val="25"/>
        </w:rPr>
        <w:t>七、请批示事项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恳请对第六条所列三项机制事项予以批示。如蒙同意，建议一并明确联络员报送方式与时限，并由信息部门按第（三）项所述范围办理权限开通。</w:t>
      </w:r>
    </w:p>
    <w:p>
      <w:pPr>
        <w:ind w:firstLine="420"/>
      </w:pPr>
      <w:r>
        <w:rPr>
          <w:rFonts w:ascii="Microsoft YaHei" w:hAnsi="Microsoft YaHei" w:eastAsia="Microsoft YaHei"/>
          <w:b w:val="0"/>
          <w:color w:val="1A1A1A"/>
          <w:sz w:val="22"/>
        </w:rPr>
        <w:t>专此报告，请批示。</w:t>
      </w:r>
    </w:p>
    <w:p>
      <w:pPr>
        <w:spacing w:before="400"/>
        <w:jc w:val="right"/>
      </w:pPr>
      <w:r>
        <w:rPr>
          <w:rFonts w:ascii="Microsoft YaHei" w:hAnsi="Microsoft YaHei" w:eastAsia="Microsoft YaHei"/>
          <w:b w:val="0"/>
          <w:color w:val="1A1A1A"/>
          <w:sz w:val="22"/>
        </w:rPr>
        <w:t xml:space="preserve">拟报人：＿＿＿＿＿　　　</w:t>
      </w:r>
    </w:p>
    <w:sectPr w:rsidR="00FC693F" w:rsidRPr="0006063C" w:rsidSect="00034616">
      <w:pgSz w:w="12240" w:h="15840"/>
      <w:pgMar w:top="1417" w:right="1531" w:bottom="130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