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/>
        <w:jc w:val="center"/>
      </w:pPr>
      <w:r>
        <w:rPr>
          <w:rFonts w:ascii="Microsoft YaHei" w:hAnsi="Microsoft YaHei" w:eastAsia="Microsoft YaHei"/>
          <w:b/>
          <w:color w:val="000000"/>
          <w:sz w:val="36"/>
        </w:rPr>
        <w:t>AI 辅助生产推进机制建议</w:t>
      </w:r>
    </w:p>
    <w:p>
      <w:pPr>
        <w:spacing w:after="40" w:line="288" w:lineRule="auto"/>
      </w:pPr>
      <w:r>
        <w:rPr>
          <w:rFonts w:ascii="Microsoft YaHei" w:hAnsi="Microsoft YaHei" w:eastAsia="Microsoft YaHei"/>
          <w:b/>
          <w:color w:val="595959"/>
          <w:sz w:val="21"/>
        </w:rPr>
        <w:t>呈报：</w:t>
      </w:r>
      <w:r>
        <w:rPr>
          <w:rFonts w:ascii="Microsoft YaHei" w:hAnsi="Microsoft YaHei" w:eastAsia="Microsoft YaHei"/>
          <w:b w:val="0"/>
          <w:color w:val="595959"/>
          <w:sz w:val="21"/>
        </w:rPr>
        <w:t>集团生产管理层</w:t>
      </w:r>
    </w:p>
    <w:p>
      <w:pPr>
        <w:spacing w:after="40" w:line="288" w:lineRule="auto"/>
      </w:pPr>
      <w:r>
        <w:rPr>
          <w:rFonts w:ascii="Microsoft YaHei" w:hAnsi="Microsoft YaHei" w:eastAsia="Microsoft YaHei"/>
          <w:b/>
          <w:color w:val="595959"/>
          <w:sz w:val="21"/>
        </w:rPr>
        <w:t>事由：</w:t>
      </w:r>
      <w:r>
        <w:rPr>
          <w:rFonts w:ascii="Microsoft YaHei" w:hAnsi="Microsoft YaHei" w:eastAsia="Microsoft YaHei"/>
          <w:b w:val="0"/>
          <w:color w:val="595959"/>
          <w:sz w:val="21"/>
        </w:rPr>
        <w:t>申请设立 AI 辅助生产推进的汇报窗口、联络机制与数据查询权限</w:t>
      </w:r>
    </w:p>
    <w:p>
      <w:pPr>
        <w:spacing w:after="40" w:line="288" w:lineRule="auto"/>
      </w:pPr>
      <w:r>
        <w:rPr>
          <w:rFonts w:ascii="Microsoft YaHei" w:hAnsi="Microsoft YaHei" w:eastAsia="Microsoft YaHei"/>
          <w:b/>
          <w:color w:val="595959"/>
          <w:sz w:val="21"/>
        </w:rPr>
        <w:t>日期：</w:t>
      </w:r>
      <w:r>
        <w:rPr>
          <w:rFonts w:ascii="Microsoft YaHei" w:hAnsi="Microsoft YaHei" w:eastAsia="Microsoft YaHei"/>
          <w:b w:val="0"/>
          <w:color w:val="595959"/>
          <w:sz w:val="21"/>
        </w:rPr>
        <w:t>2026 年 9 月</w:t>
      </w:r>
    </w:p>
    <w:p>
      <w:pPr>
        <w:pBdr>
          <w:top w:val="single" w:sz="6" w:space="1" w:color="BFBFBF"/>
        </w:pBdr>
        <w:spacing w:before="200"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000000"/>
          <w:sz w:val="25"/>
        </w:rPr>
        <w:t>一、背景与推进方式</w:t>
      </w:r>
    </w:p>
    <w:p>
      <w:pPr>
        <w:ind w:left="0" w:firstLine="420"/>
      </w:pPr>
      <w:r>
        <w:rPr>
          <w:rFonts w:ascii="Microsoft YaHei" w:hAnsi="Microsoft YaHei" w:eastAsia="Microsoft YaHei"/>
          <w:b w:val="0"/>
          <w:color w:val="1A1A1A"/>
          <w:sz w:val="22"/>
        </w:rPr>
        <w:t>按照集团关于推进 AI 在生产中应用的要求，现阶段拟采用“先低投入验证、再按结果申请资源”的方式推进：优先完成生产场景摸底、数据条件评估与外部技术能力比较，在具备明确可行性后再提出试点及投入申请。</w:t>
      </w:r>
    </w:p>
    <w:p>
      <w:pPr>
        <w:ind w:left="0" w:firstLine="420"/>
      </w:pPr>
      <w:r>
        <w:rPr>
          <w:rFonts w:ascii="Microsoft YaHei" w:hAnsi="Microsoft YaHei" w:eastAsia="Microsoft YaHei"/>
          <w:b w:val="0"/>
          <w:color w:val="1A1A1A"/>
          <w:sz w:val="22"/>
        </w:rPr>
        <w:t>初步考虑的方向包括现场视频巡检与设备电子点检、技术转移与工艺审查辅助、生产数据预测与技术报告辅助撰写等，具体范围待场景摸底完成后另行提出。</w:t>
      </w:r>
    </w:p>
    <w:p>
      <w:pPr>
        <w:ind w:left="0" w:firstLine="420"/>
      </w:pPr>
      <w:r>
        <w:rPr>
          <w:rFonts w:ascii="Microsoft YaHei" w:hAnsi="Microsoft YaHei" w:eastAsia="Microsoft YaHei"/>
          <w:b w:val="0"/>
          <w:color w:val="1A1A1A"/>
          <w:sz w:val="22"/>
        </w:rPr>
        <w:t>为使该项工作具备稳定的组织依托、避免因协调不畅而停滞，现就推进机制提出以下建议。所列三项均不涉及预算与人员编制。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000000"/>
          <w:sz w:val="25"/>
        </w:rPr>
        <w:t>二、建议事项</w:t>
      </w:r>
    </w:p>
    <w:p>
      <w:pPr>
        <w:spacing w:before="180" w:after="60"/>
        <w:ind w:left="420"/>
      </w:pPr>
      <w:r>
        <w:rPr>
          <w:rFonts w:ascii="Microsoft YaHei" w:hAnsi="Microsoft YaHei" w:eastAsia="Microsoft YaHei"/>
          <w:b/>
          <w:color w:val="000000"/>
          <w:sz w:val="23"/>
        </w:rPr>
        <w:t>（一）　设立固定汇报窗口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在集团生产季度例会中设 15 分钟固定议题，汇报阶段进展与需决策事项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每月提交一页进展报告，内容包括：本月完成事项、主要发现、待解决问题、下月计划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目的：使推进过程持续可见，遇到跨部门问题能及时获得决策</w:t>
      </w:r>
    </w:p>
    <w:p>
      <w:pPr>
        <w:spacing w:before="180" w:after="60"/>
        <w:ind w:left="420"/>
      </w:pPr>
      <w:r>
        <w:rPr>
          <w:rFonts w:ascii="Microsoft YaHei" w:hAnsi="Microsoft YaHei" w:eastAsia="Microsoft YaHei"/>
          <w:b/>
          <w:color w:val="000000"/>
          <w:sz w:val="23"/>
        </w:rPr>
        <w:t>（二）　组建虚拟工作联络网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各生产车间及工艺、设备、质量、信息等相关部门，各指定 1 名联络员，兼职承担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联络员职责纳入现有岗位职责说明，不新增编制、不脱离本职工作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目的：使跨部门配合有固定对接人，避免逐事逐人协商，降低沟通成本</w:t>
      </w:r>
    </w:p>
    <w:p>
      <w:pPr>
        <w:spacing w:before="180" w:after="60"/>
        <w:ind w:left="420"/>
      </w:pPr>
      <w:r>
        <w:rPr>
          <w:rFonts w:ascii="Microsoft YaHei" w:hAnsi="Microsoft YaHei" w:eastAsia="Microsoft YaHei"/>
          <w:b/>
          <w:color w:val="000000"/>
          <w:sz w:val="23"/>
        </w:rPr>
        <w:t>（三）　授予数据调阅权限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开放 DCS、EBR、LIMS、QMS、CMMS、SAP 等系统的只读查询权限及相关文档库访问权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仅用于场景可行性分析与数据条件评估，不涉及任何数据修改或对外传输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涉及客户信息的内容按现行保密要求脱敏；具体权限范围与留痕方式，建议由质量与信息部门共同确认后执行</w:t>
      </w:r>
    </w:p>
    <w:p>
      <w:pPr>
        <w:spacing w:after="60" w:line="336" w:lineRule="auto"/>
        <w:ind w:left="850"/>
      </w:pPr>
      <w:r>
        <w:rPr>
          <w:rFonts w:ascii="Microsoft YaHei" w:hAnsi="Microsoft YaHei" w:eastAsia="Microsoft YaHei"/>
          <w:b w:val="0"/>
          <w:color w:val="1A1A1A"/>
          <w:sz w:val="21"/>
        </w:rPr>
        <w:t>— 目的：明确数据可用边界，避免论证阶段反复申请、逐次审批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000000"/>
          <w:sz w:val="25"/>
        </w:rPr>
        <w:t>三、对业务部门的投入承诺</w:t>
      </w:r>
    </w:p>
    <w:p>
      <w:pPr>
        <w:ind w:left="0" w:firstLine="420"/>
      </w:pPr>
      <w:r>
        <w:rPr>
          <w:rFonts w:ascii="Microsoft YaHei" w:hAnsi="Microsoft YaHei" w:eastAsia="Microsoft YaHei"/>
          <w:b w:val="0"/>
          <w:color w:val="1A1A1A"/>
          <w:sz w:val="22"/>
        </w:rPr>
        <w:t>考虑生产任务实际负荷，本项工作明确对业务部门的投入上限如下。资料收集、数据整理、供应商对接、结果汇总与材料撰写等工作，均由推进牵头方承担，不向业务部门分派。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11"/>
            <w:shd w:val="clear" w:color="auto" w:fill="EDEFF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部门 / 岗位</w:t>
            </w:r>
          </w:p>
        </w:tc>
        <w:tc>
          <w:tcPr>
            <w:tcW w:type="dxa" w:w="2041"/>
            <w:shd w:val="clear" w:color="auto" w:fill="EDEFF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投入上限</w:t>
            </w:r>
          </w:p>
        </w:tc>
        <w:tc>
          <w:tcPr>
            <w:tcW w:type="dxa" w:w="4252"/>
            <w:shd w:val="clear" w:color="auto" w:fill="EDEFF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承担事项</w:t>
            </w:r>
          </w:p>
        </w:tc>
      </w:tr>
      <w:tr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车间主任 / 主管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每月约 1 小时</w:t>
            </w:r>
          </w:p>
        </w:tc>
        <w:tc>
          <w:tcPr>
            <w:tcW w:type="dxa" w:w="425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确认场景是否值得推进、确认试点结论</w:t>
            </w:r>
          </w:p>
        </w:tc>
      </w:tr>
      <w:tr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工艺 / 技术人员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每周不超过 1 小时</w:t>
            </w:r>
          </w:p>
        </w:tc>
        <w:tc>
          <w:tcPr>
            <w:tcW w:type="dxa" w:w="425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判断输出结果是否可用、指出问题所在</w:t>
            </w:r>
          </w:p>
        </w:tc>
      </w:tr>
      <w:tr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一线操作 / 点检人员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每次不超过 5 分钟</w:t>
            </w:r>
          </w:p>
        </w:tc>
        <w:tc>
          <w:tcPr>
            <w:tcW w:type="dxa" w:w="425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在既有操作流程中确认结果，不额外填表</w:t>
            </w:r>
          </w:p>
        </w:tc>
      </w:tr>
      <w:tr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质量部门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关键节点各约 1 小时</w:t>
            </w:r>
          </w:p>
        </w:tc>
        <w:tc>
          <w:tcPr>
            <w:tcW w:type="dxa" w:w="425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明确合规边界与记录留痕要求</w:t>
            </w:r>
          </w:p>
        </w:tc>
      </w:tr>
      <w:tr>
        <w:tc>
          <w:tcPr>
            <w:tcW w:type="dxa" w:w="221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信息部门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阶段性集中 3–5 天</w:t>
            </w:r>
          </w:p>
        </w:tc>
        <w:tc>
          <w:tcPr>
            <w:tcW w:type="dxa" w:w="425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开通查询权限、说明系统接口可行性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Microsoft YaHei" w:hAnsi="Microsoft YaHei" w:eastAsia="Microsoft YaHei"/>
          <w:b/>
          <w:color w:val="000000"/>
          <w:sz w:val="25"/>
        </w:rPr>
        <w:t>四、近期工作安排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587"/>
            <w:shd w:val="clear" w:color="auto" w:fill="EDEFF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时间</w:t>
            </w:r>
          </w:p>
        </w:tc>
        <w:tc>
          <w:tcPr>
            <w:tcW w:type="dxa" w:w="3742"/>
            <w:shd w:val="clear" w:color="auto" w:fill="EDEFF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工作内容</w:t>
            </w:r>
          </w:p>
        </w:tc>
        <w:tc>
          <w:tcPr>
            <w:tcW w:type="dxa" w:w="3175"/>
            <w:shd w:val="clear" w:color="auto" w:fill="EDEFF3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阶段成果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第 1 个月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机制落地，完成访谈准备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联络员名单、权限开通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第 1–2 个月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开展 15–20 人次现场访谈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生产场景清单及工时排序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第 2–3 个月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评估各系统数据可用条件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数据就绪度评估结论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第 3–4 个月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组织外部技术交流与能力比较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供应商能力对比及数据要求清单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第 4–5 个月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提出试点场景建议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1A1A1A"/>
                <w:sz w:val="20"/>
              </w:rPr>
              <w:t>试点方案及投入申请</w:t>
            </w:r>
          </w:p>
        </w:tc>
      </w:tr>
    </w:tbl>
    <w:p>
      <w:pPr>
        <w:spacing w:after="40"/>
      </w:pPr>
    </w:p>
    <w:p>
      <w:pPr>
        <w:ind w:left="0" w:firstLine="420"/>
      </w:pPr>
      <w:r>
        <w:rPr>
          <w:rFonts w:ascii="Microsoft YaHei" w:hAnsi="Microsoft YaHei" w:eastAsia="Microsoft YaHei"/>
          <w:b/>
          <w:color w:val="1A1A1A"/>
          <w:sz w:val="22"/>
        </w:rPr>
        <w:t>以上各阶段均不需预算支持。试点实施所需费用，将在场景与范围确定后另行请示。</w:t>
      </w:r>
    </w:p>
    <w:p>
      <w:pPr>
        <w:spacing w:before="280" w:after="100"/>
      </w:pPr>
      <w:r>
        <w:rPr>
          <w:rFonts w:ascii="Microsoft YaHei" w:hAnsi="Microsoft YaHei" w:eastAsia="Microsoft YaHei"/>
          <w:b/>
          <w:color w:val="000000"/>
          <w:sz w:val="25"/>
        </w:rPr>
        <w:t>五、请批示事项</w:t>
      </w:r>
    </w:p>
    <w:p>
      <w:pPr>
        <w:ind w:left="0" w:firstLine="420"/>
      </w:pPr>
      <w:r>
        <w:rPr>
          <w:rFonts w:ascii="Microsoft YaHei" w:hAnsi="Microsoft YaHei" w:eastAsia="Microsoft YaHei"/>
          <w:b w:val="0"/>
          <w:color w:val="1A1A1A"/>
          <w:sz w:val="22"/>
        </w:rPr>
        <w:t>恳请对上述三项机制建议予以批示。如蒙同意，建议一并明确联络员报送方式与时限，并由信息部门按第二条第（三）项所述范围办理权限开通。</w:t>
      </w:r>
    </w:p>
    <w:p>
      <w:pPr>
        <w:ind w:left="0" w:firstLine="420"/>
      </w:pPr>
      <w:r>
        <w:rPr>
          <w:rFonts w:ascii="Microsoft YaHei" w:hAnsi="Microsoft YaHei" w:eastAsia="Microsoft YaHei"/>
          <w:b w:val="0"/>
          <w:color w:val="1A1A1A"/>
          <w:sz w:val="22"/>
        </w:rPr>
        <w:t>专此报告，请批示。</w:t>
      </w:r>
    </w:p>
    <w:p>
      <w:pPr>
        <w:spacing w:before="440"/>
        <w:jc w:val="right"/>
      </w:pPr>
      <w:r>
        <w:rPr>
          <w:rFonts w:ascii="Microsoft YaHei" w:hAnsi="Microsoft YaHei" w:eastAsia="Microsoft YaHei"/>
          <w:b w:val="0"/>
          <w:color w:val="1A1A1A"/>
          <w:sz w:val="22"/>
        </w:rPr>
        <w:t xml:space="preserve">拟报人：＿＿＿＿＿　　　</w:t>
      </w:r>
    </w:p>
    <w:sectPr w:rsidR="00FC693F" w:rsidRPr="0006063C" w:rsidSect="00034616">
      <w:pgSz w:w="12240" w:h="15840"/>
      <w:pgMar w:top="1474" w:right="1587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