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YaHei" w:hAnsi="Microsoft YaHei" w:eastAsia="Microsoft YaHei"/>
          <w:b/>
          <w:color w:val="0F1F3D"/>
          <w:sz w:val="34"/>
        </w:rPr>
        <w:t>阿里千问办公 · 钉钉参访行前分析</w:t>
      </w:r>
    </w:p>
    <w:p>
      <w:pPr>
        <w:pBdr>
          <w:bottom w:val="single" w:sz="12" w:space="4" w:color="0F1F3D"/>
        </w:pBdr>
        <w:spacing w:after="160"/>
      </w:pPr>
      <w:r>
        <w:rPr>
          <w:rFonts w:ascii="Microsoft YaHei" w:hAnsi="Microsoft YaHei" w:eastAsia="Microsoft YaHei"/>
          <w:b w:val="0"/>
          <w:color w:val="6B7790"/>
          <w:sz w:val="18"/>
        </w:rPr>
        <w:t>2026 年 10 月 16 日 · 杭州　｜　生产视角　｜　依据阿里提供的行程及 9 月云栖大会公开发布整理</w:t>
      </w:r>
    </w:p>
    <w:tbl>
      <w:tblPr>
        <w:tblW w:w="9412" w:type="dxa"/>
        <w:jc w:val="center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F1F3D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color w:val="FFB489"/>
                <w:sz w:val="21"/>
              </w:rPr>
              <w:t>核心判断：</w:t>
            </w:r>
            <w:r>
              <w:rPr>
                <w:rFonts w:ascii="Microsoft YaHei" w:hAnsi="Microsoft YaHei" w:eastAsia="Microsoft YaHei"/>
                <w:b w:val="0"/>
                <w:color w:val="FFFFFF"/>
                <w:sz w:val="21"/>
              </w:rPr>
              <w:t>此行是阿里在 9 月新品发布后的大客户拜访，全天围绕千问办公与钉钉 9.0 展开，并以共创与对接机制收尾。对生产而言，最现实的价值在于借助已在使用的钉钉，低成本推进</w:t>
            </w:r>
            <w:r>
              <w:rPr>
                <w:rFonts w:ascii="Microsoft YaHei" w:hAnsi="Microsoft YaHei" w:eastAsia="Microsoft YaHei"/>
                <w:b/>
                <w:color w:val="FFB489"/>
                <w:sz w:val="21"/>
              </w:rPr>
              <w:t>生产管理中的文字与知识类工作</w:t>
            </w:r>
            <w:r>
              <w:rPr>
                <w:rFonts w:ascii="Microsoft YaHei" w:hAnsi="Microsoft YaHei" w:eastAsia="Microsoft YaHei"/>
                <w:b w:val="0"/>
                <w:color w:val="FFFFFF"/>
                <w:sz w:val="21"/>
              </w:rPr>
              <w:t>；工艺控制、设备预测与 GMP 关键决策不在其能力重点之内。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Microsoft YaHei" w:hAnsi="Microsoft YaHei" w:eastAsia="Microsoft YaHei"/>
          <w:b/>
          <w:color w:val="C2410C"/>
          <w:sz w:val="25"/>
        </w:rPr>
        <w:t xml:space="preserve">一  </w:t>
      </w:r>
      <w:r>
        <w:rPr>
          <w:rFonts w:ascii="Microsoft YaHei" w:hAnsi="Microsoft YaHei" w:eastAsia="Microsoft YaHei"/>
          <w:b/>
          <w:color w:val="0F1F3D"/>
          <w:sz w:val="25"/>
        </w:rPr>
        <w:t>对方动机分析</w:t>
      </w:r>
    </w:p>
    <w:p>
      <w:pPr>
        <w:spacing w:after="20"/>
        <w:ind w:left="255" w:hanging="198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推动新品落地与版本转化。</w:t>
      </w:r>
      <w:r>
        <w:rPr>
          <w:rFonts w:ascii="Microsoft YaHei" w:hAnsi="Microsoft YaHei" w:eastAsia="Microsoft YaHei"/>
          <w:b w:val="0"/>
          <w:color w:val="1F2A44"/>
          <w:sz w:val="20"/>
        </w:rPr>
        <w:t>9 月 22 日云栖大会刚发布千问办公的企业上下文、数字员工、安全中心；钉钉 9.0 四档 AI 付费版 10 月 21 日起生效。参访时间与转化窗口高度吻合。</w:t>
      </w:r>
    </w:p>
    <w:p>
      <w:pPr>
        <w:spacing w:after="20"/>
        <w:ind w:left="255" w:hanging="198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树立医药行业标杆。</w:t>
      </w:r>
      <w:r>
        <w:rPr>
          <w:rFonts w:ascii="Microsoft YaHei" w:hAnsi="Microsoft YaHei" w:eastAsia="Microsoft YaHei"/>
          <w:b w:val="0"/>
          <w:color w:val="1F2A44"/>
          <w:sz w:val="20"/>
        </w:rPr>
        <w:t>钉钉称超六成医药企业在使用，已发布医药行业 AI 白皮书并牵头成立医药行业 AI 创新联盟。凯莱英作为头部 CDMO，是其行业案例的重要对象；下午展示“CDMO 同行已在跑的场景”，意在形成对标压力。</w:t>
      </w:r>
    </w:p>
    <w:p>
      <w:pPr>
        <w:spacing w:after="20"/>
        <w:ind w:left="255" w:hanging="198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从卖工具延伸到卖服务。</w:t>
      </w:r>
      <w:r>
        <w:rPr>
          <w:rFonts w:ascii="Microsoft YaHei" w:hAnsi="Microsoft YaHei" w:eastAsia="Microsoft YaHei"/>
          <w:b w:val="0"/>
          <w:color w:val="1F2A44"/>
          <w:sz w:val="20"/>
        </w:rPr>
        <w:t>安排组织变革专题并强调“陪跑式落地”，目标是形成持续性的咨询与实施合作。</w:t>
      </w:r>
    </w:p>
    <w:p>
      <w:pPr>
        <w:spacing w:after="20"/>
        <w:ind w:left="255" w:hanging="198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当天形成可跟进的抓手。</w:t>
      </w:r>
      <w:r>
        <w:rPr>
          <w:rFonts w:ascii="Microsoft YaHei" w:hAnsi="Microsoft YaHei" w:eastAsia="Microsoft YaHei"/>
          <w:b w:val="0"/>
          <w:color w:val="1F2A44"/>
          <w:sz w:val="20"/>
        </w:rPr>
        <w:t>傍晚请每位高管提出最想用 AI 解决的一件事、共创三个优先场景，并明确对接机制，这些场景将成为其后续方案的切入点。</w:t>
      </w:r>
    </w:p>
    <w:p>
      <w:pPr>
        <w:keepNext/>
        <w:spacing w:before="160" w:after="60"/>
      </w:pPr>
      <w:r>
        <w:rPr>
          <w:rFonts w:ascii="Microsoft YaHei" w:hAnsi="Microsoft YaHei" w:eastAsia="Microsoft YaHei"/>
          <w:b/>
          <w:color w:val="C2410C"/>
          <w:sz w:val="25"/>
        </w:rPr>
        <w:t xml:space="preserve">二  </w:t>
      </w:r>
      <w:r>
        <w:rPr>
          <w:rFonts w:ascii="Microsoft YaHei" w:hAnsi="Microsoft YaHei" w:eastAsia="Microsoft YaHei"/>
          <w:b/>
          <w:color w:val="0F1F3D"/>
          <w:sz w:val="25"/>
        </w:rPr>
        <w:t>各环节关注点</w:t>
      </w:r>
    </w:p>
    <w:tbl>
      <w:tblPr>
        <w:tblW w:w="9412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737"/>
        <w:gridCol w:w="2494"/>
        <w:gridCol w:w="4989"/>
        <w:gridCol w:w="1190"/>
      </w:tblGrid>
      <w:tr>
        <w:tc>
          <w:tcPr>
            <w:tcW w:type="dxa" w:w="737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时间</w:t>
            </w:r>
          </w:p>
        </w:tc>
        <w:tc>
          <w:tcPr>
            <w:tcW w:type="dxa" w:w="2494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环节</w:t>
            </w:r>
          </w:p>
        </w:tc>
        <w:tc>
          <w:tcPr>
            <w:tcW w:type="dxa" w:w="4989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关注点</w:t>
            </w:r>
          </w:p>
        </w:tc>
        <w:tc>
          <w:tcPr>
            <w:tcW w:type="dxa" w:w="1191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与生产关联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09:10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开场分享《Context is all you need》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阿里对“企业上下文”的定义与落地路径——对应我们跨系统数据难以打通的问题</w:t>
            </w:r>
          </w:p>
        </w:tc>
        <w:tc>
          <w:tcPr>
            <w:tcW w:type="dxa" w:w="119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09:50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云谷展厅：芯片、算力、千问大模型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与部署方式相关的展示：专有云、私有化、本地算力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低</w:t>
            </w:r>
          </w:p>
        </w:tc>
      </w:tr>
      <w:tr>
        <w:tc>
          <w:tcPr>
            <w:tcW w:type="dxa" w:w="737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13:00</w:t>
            </w:r>
          </w:p>
        </w:tc>
        <w:tc>
          <w:tcPr>
            <w:tcW w:type="dxa" w:w="2494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智能硬件展厅：随身记录、现场视觉</w:t>
            </w:r>
          </w:p>
        </w:tc>
        <w:tc>
          <w:tcPr>
            <w:tcW w:type="dxa" w:w="4989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会议转写在中英混杂与专业术语下的实际效果；现场视觉能否本地处理、能否适配洁净区与防爆环境</w:t>
            </w:r>
          </w:p>
        </w:tc>
        <w:tc>
          <w:tcPr>
            <w:tcW w:type="dxa" w:w="1191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>高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13:40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AI 进财务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效果如何量化、投入产出如何算清——方法可借鉴到生产场景评估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低</w:t>
            </w:r>
          </w:p>
        </w:tc>
      </w:tr>
      <w:tr>
        <w:tc>
          <w:tcPr>
            <w:tcW w:type="dxa" w:w="737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14:10</w:t>
            </w:r>
          </w:p>
        </w:tc>
        <w:tc>
          <w:tcPr>
            <w:tcW w:type="dxa" w:w="2494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让 AI 上班：数字分身、数字员工</w:t>
            </w:r>
          </w:p>
        </w:tc>
        <w:tc>
          <w:tcPr>
            <w:tcW w:type="dxa" w:w="4989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数字员工的岗位、授权、停用与操作追溯机制，与 GMP 岗位职责、授权管理、审计追踪的契合程度</w:t>
            </w:r>
          </w:p>
        </w:tc>
        <w:tc>
          <w:tcPr>
            <w:tcW w:type="dxa" w:w="1191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>高</w:t>
            </w:r>
          </w:p>
        </w:tc>
      </w:tr>
      <w:tr>
        <w:tc>
          <w:tcPr>
            <w:tcW w:type="dxa" w:w="737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14:50</w:t>
            </w:r>
          </w:p>
        </w:tc>
        <w:tc>
          <w:tcPr>
            <w:tcW w:type="dxa" w:w="2494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AI 深入医药场景：情报中心、生产质检、智能报价</w:t>
            </w:r>
          </w:p>
        </w:tc>
        <w:tc>
          <w:tcPr>
            <w:tcW w:type="dxa" w:w="4989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“生产质检”具体所指环节与成熟度，是否进入 GMP 记录、是否经过验证；所称 CDMO 同行的实际深度</w:t>
            </w:r>
          </w:p>
        </w:tc>
        <w:tc>
          <w:tcPr>
            <w:tcW w:type="dxa" w:w="1191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>最高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15:35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从工具变革到组织变革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“陪跑式落地”的服务内容与模式，与我们已有推进机制的关系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中</w:t>
            </w:r>
          </w:p>
        </w:tc>
      </w:tr>
      <w:tr>
        <w:tc>
          <w:tcPr>
            <w:tcW w:type="dxa" w:w="737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16:20</w:t>
            </w:r>
          </w:p>
        </w:tc>
        <w:tc>
          <w:tcPr>
            <w:tcW w:type="dxa" w:w="2494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AI 场景共创工作坊</w:t>
            </w:r>
          </w:p>
        </w:tc>
        <w:tc>
          <w:tcPr>
            <w:tcW w:type="dxa" w:w="4989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每位高管各提一件事并收敛为三个场景——场景宜由我方主导定义</w:t>
            </w:r>
          </w:p>
        </w:tc>
        <w:tc>
          <w:tcPr>
            <w:tcW w:type="dxa" w:w="1191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>高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17:20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收尾与总结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阿里将推动明确下一步与对接机制</w:t>
            </w:r>
          </w:p>
        </w:tc>
        <w:tc>
          <w:tcPr>
            <w:tcW w:type="dxa" w:w="119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中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Microsoft YaHei" w:hAnsi="Microsoft YaHei" w:eastAsia="Microsoft YaHei"/>
          <w:b/>
          <w:color w:val="C2410C"/>
          <w:sz w:val="25"/>
        </w:rPr>
        <w:t xml:space="preserve">三  </w:t>
      </w:r>
      <w:r>
        <w:rPr>
          <w:rFonts w:ascii="Microsoft YaHei" w:hAnsi="Microsoft YaHei" w:eastAsia="Microsoft YaHei"/>
          <w:b/>
          <w:color w:val="0F1F3D"/>
          <w:sz w:val="25"/>
        </w:rPr>
        <w:t>应用方向分析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>按与生产的联动程度与实施条件分为三类。</w:t>
      </w:r>
    </w:p>
    <w:tbl>
      <w:tblPr>
        <w:tblW w:w="9412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417"/>
        <w:gridCol w:w="3061"/>
        <w:gridCol w:w="2778"/>
        <w:gridCol w:w="2154"/>
      </w:tblGrid>
      <w:tr>
        <w:tc>
          <w:tcPr>
            <w:tcW w:type="dxa" w:w="1417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类别</w:t>
            </w:r>
          </w:p>
        </w:tc>
        <w:tc>
          <w:tcPr>
            <w:tcW w:type="dxa" w:w="3061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应用方向</w:t>
            </w:r>
          </w:p>
        </w:tc>
        <w:tc>
          <w:tcPr>
            <w:tcW w:type="dxa" w:w="2778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与生产的联动</w:t>
            </w:r>
          </w:p>
        </w:tc>
        <w:tc>
          <w:tcPr>
            <w:tcW w:type="dxa" w:w="2154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依托能力</w:t>
            </w:r>
          </w:p>
        </w:tc>
      </w:tr>
      <w:tr>
        <w:tc>
          <w:tcPr>
            <w:tcW w:type="dxa" w:w="1417"/>
            <w:vMerge w:val="restart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可直接联动</w:t>
            </w:r>
          </w:p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</w:r>
          </w:p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</w:r>
          </w:p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</w:r>
          </w:p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</w:r>
          </w:p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生产报告初稿（Campaign、月度运行报告）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减少机械汇编，工程师回到现场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企业上下文、数字员工</w:t>
            </w:r>
          </w:p>
        </w:tc>
      </w:tr>
      <w:tr>
        <w:tc>
          <w:tcPr>
            <w:tcW w:type="dxa" w:w="1417"/>
            <w:vMerge/>
            <w:vAlign w:val="center"/>
          </w:tcPr>
          <w:p/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生产会议与交接班纪要、待办跟踪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纪要统一、待办闭环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AI 听记、随身记录</w:t>
            </w:r>
          </w:p>
        </w:tc>
      </w:tr>
      <w:tr>
        <w:tc>
          <w:tcPr>
            <w:tcW w:type="dxa" w:w="1417"/>
            <w:vMerge/>
            <w:vAlign w:val="center"/>
          </w:tcPr>
          <w:p/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生产异常信息汇集与追踪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上报更及时、经验可检索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AI 表格、数字员工</w:t>
            </w:r>
          </w:p>
        </w:tc>
      </w:tr>
      <w:tr>
        <w:tc>
          <w:tcPr>
            <w:tcW w:type="dxa" w:w="1417"/>
            <w:vMerge/>
            <w:vAlign w:val="center"/>
          </w:tcPr>
          <w:p/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SOP 与法规问答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一线查询与培训支持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企业上下文、知识库</w:t>
            </w:r>
          </w:p>
        </w:tc>
      </w:tr>
      <w:tr>
        <w:tc>
          <w:tcPr>
            <w:tcW w:type="dxa" w:w="1417"/>
            <w:vMerge/>
            <w:vAlign w:val="center"/>
          </w:tcPr>
          <w:p/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技术转移项目协作空间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研发、分析、化工、生产交接更完整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协作空间</w:t>
            </w:r>
          </w:p>
        </w:tc>
      </w:tr>
      <w:tr>
        <w:tc>
          <w:tcPr>
            <w:tcW w:type="dxa" w:w="1417"/>
            <w:vMerge/>
            <w:vAlign w:val="center"/>
          </w:tcPr>
          <w:p/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中英双语技术沟通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海外客户沟通效率与准确度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大模型、AI 听记</w:t>
            </w:r>
          </w:p>
        </w:tc>
      </w:tr>
      <w:tr>
        <w:tc>
          <w:tcPr>
            <w:tcW w:type="dxa" w:w="1417"/>
            <w:vMerge w:val="restart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有条件联动</w:t>
            </w:r>
          </w:p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</w:r>
          </w:p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</w:r>
          </w:p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偏差与 OOS 调查辅助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检索历史相似事件与措施，支持根因分析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只读接入质量系统</w:t>
            </w:r>
          </w:p>
        </w:tc>
      </w:tr>
      <w:tr>
        <w:tc>
          <w:tcPr>
            <w:tcW w:type="dxa" w:w="1417"/>
            <w:vMerge/>
            <w:vAlign w:val="center"/>
          </w:tcPr>
          <w:p/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分析与检验文件起草及核对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文件起草与一致性核对提速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需评估计算机化系统验证</w:t>
            </w:r>
          </w:p>
        </w:tc>
      </w:tr>
      <w:tr>
        <w:tc>
          <w:tcPr>
            <w:tcW w:type="dxa" w:w="1417"/>
            <w:vMerge/>
            <w:vAlign w:val="center"/>
          </w:tcPr>
          <w:p/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设备点检与关键区辅助巡检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减少漏检、补巡检盲区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现场视觉；需洁净区与防爆适配</w:t>
            </w:r>
          </w:p>
        </w:tc>
      </w:tr>
      <w:tr>
        <w:tc>
          <w:tcPr>
            <w:tcW w:type="dxa" w:w="1417"/>
            <w:vMerge/>
            <w:vAlign w:val="center"/>
          </w:tcPr>
          <w:p/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技术转移经验库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放大风险提前识别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需结构化积累、按客户隔离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不属本次重点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QC 结果预测、工艺黄金参数、放大参数预测、设备预测性维护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依赖生产控制数据与机理模型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按专业厂商与自建路线推进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Microsoft YaHei" w:hAnsi="Microsoft YaHei" w:eastAsia="Microsoft YaHei"/>
          <w:b/>
          <w:color w:val="C2410C"/>
          <w:sz w:val="25"/>
        </w:rPr>
        <w:t xml:space="preserve">四  </w:t>
      </w:r>
      <w:r>
        <w:rPr>
          <w:rFonts w:ascii="Microsoft YaHei" w:hAnsi="Microsoft YaHei" w:eastAsia="Microsoft YaHei"/>
          <w:b/>
          <w:color w:val="0F1F3D"/>
          <w:sz w:val="25"/>
        </w:rPr>
        <w:t>重点关注问题</w:t>
      </w:r>
    </w:p>
    <w:tbl>
      <w:tblPr>
        <w:tblW w:w="9412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2097"/>
        <w:gridCol w:w="4932"/>
        <w:gridCol w:w="2381"/>
      </w:tblGrid>
      <w:tr>
        <w:tc>
          <w:tcPr>
            <w:tcW w:type="dxa" w:w="2098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关注点</w:t>
            </w:r>
          </w:p>
        </w:tc>
        <w:tc>
          <w:tcPr>
            <w:tcW w:type="dxa" w:w="4932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关注内容</w:t>
            </w:r>
          </w:p>
        </w:tc>
        <w:tc>
          <w:tcPr>
            <w:tcW w:type="dxa" w:w="2381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为何重要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>数据能否不出域</w:t>
            </w:r>
          </w:p>
        </w:tc>
        <w:tc>
          <w:tcPr>
            <w:tcW w:type="dxa" w:w="493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部署方式：公有云、专属钉钉（混合云，数据可存本地）、私有化。已有蚂蚁集团内网私有化先例，是否对外部企业提供尚不明确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决定哪些场景可以使用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>客户数据能否隔离</w:t>
            </w:r>
          </w:p>
        </w:tc>
        <w:tc>
          <w:tcPr>
            <w:tcW w:type="dxa" w:w="493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权限与资料能否按客户项目隔离；企业数据是否会用于模型训练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直接关系 CDMO 对客户的保密义务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>能否满足 GMP 审计追溯</w:t>
            </w:r>
          </w:p>
        </w:tc>
        <w:tc>
          <w:tcPr>
            <w:tcW w:type="dxa" w:w="4932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操作记录能否导出、防篡改、长期保存；AI 生成内容与人工修改能否区分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关系数据完整性与客户审计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Microsoft YaHei" w:hAnsi="Microsoft YaHei" w:eastAsia="Microsoft YaHei"/>
          <w:b/>
          <w:color w:val="C2410C"/>
          <w:sz w:val="25"/>
        </w:rPr>
        <w:t xml:space="preserve">五  </w:t>
      </w:r>
      <w:r>
        <w:rPr>
          <w:rFonts w:ascii="Microsoft YaHei" w:hAnsi="Microsoft YaHei" w:eastAsia="Microsoft YaHei"/>
          <w:b/>
          <w:color w:val="0F1F3D"/>
          <w:sz w:val="25"/>
        </w:rPr>
        <w:t>共创环节初步思路</w:t>
      </w:r>
    </w:p>
    <w:p>
      <w:pPr>
        <w:spacing w:after="20"/>
        <w:ind w:left="255" w:hanging="198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切入点：</w:t>
      </w:r>
      <w:r>
        <w:rPr>
          <w:rFonts w:ascii="Microsoft YaHei" w:hAnsi="Microsoft YaHei" w:eastAsia="Microsoft YaHei"/>
          <w:b w:val="0"/>
          <w:color w:val="1F2A44"/>
          <w:sz w:val="20"/>
        </w:rPr>
        <w:t>从生产管理中的文字与知识类工作入手，AI 先出初稿、人做判断，不改变 GMP 流程与签字责任。</w:t>
      </w:r>
    </w:p>
    <w:p>
      <w:pPr>
        <w:spacing w:after="20"/>
        <w:ind w:left="255" w:hanging="198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生产侧方向：</w:t>
      </w:r>
      <w:r>
        <w:rPr>
          <w:rFonts w:ascii="Microsoft YaHei" w:hAnsi="Microsoft YaHei" w:eastAsia="Microsoft YaHei"/>
          <w:b w:val="0"/>
          <w:color w:val="1F2A44"/>
          <w:sz w:val="20"/>
        </w:rPr>
        <w:t>将生产一线的报告、会议纪要与异常记录交由 AI 先出初稿，工程师专注判断与把关；起步顺序为纪要与异常台账，再扩展至报告。</w:t>
      </w:r>
    </w:p>
    <w:p>
      <w:pPr>
        <w:spacing w:after="20"/>
        <w:ind w:left="255" w:hanging="198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三个场景的理想构成：</w:t>
      </w:r>
      <w:r>
        <w:rPr>
          <w:rFonts w:ascii="Microsoft YaHei" w:hAnsi="Microsoft YaHei" w:eastAsia="Microsoft YaHei"/>
          <w:b w:val="0"/>
          <w:color w:val="1F2A44"/>
          <w:sz w:val="20"/>
        </w:rPr>
        <w:t>生产一线文书与异常；SOP 与法规问答；技术转移协作空间与经验库。三者覆盖不同部门，均在阿里能力范围内，可先用不含客户信息的资料起步。</w:t>
      </w:r>
    </w:p>
    <w:p>
      <w:pPr>
        <w:spacing w:after="20"/>
        <w:ind w:left="255" w:hanging="198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前提条件：</w:t>
      </w:r>
      <w:r>
        <w:rPr>
          <w:rFonts w:ascii="Microsoft YaHei" w:hAnsi="Microsoft YaHei" w:eastAsia="Microsoft YaHei"/>
          <w:b/>
          <w:color w:val="C2410C"/>
          <w:sz w:val="20"/>
        </w:rPr>
        <w:t>客户数据不出域、可隔离、可审计。</w:t>
      </w:r>
    </w:p>
    <w:p>
      <w:pPr>
        <w:pBdr>
          <w:top w:val="single" w:sz="4" w:space="4" w:color="D5DBE6"/>
        </w:pBdr>
        <w:spacing w:before="200"/>
      </w:pPr>
      <w:r>
        <w:rPr>
          <w:rFonts w:ascii="Microsoft YaHei" w:hAnsi="Microsoft YaHei" w:eastAsia="Microsoft YaHei"/>
          <w:b w:val="0"/>
          <w:color w:val="6B7790"/>
          <w:sz w:val="17"/>
        </w:rPr>
        <w:t>注：阿里行程页注明由 AI 生成，具体时间与人员以对接人最终确认为准；产品与版本信息以阿里书面材料为准。</w:t>
      </w:r>
    </w:p>
    <w:sectPr w:rsidR="00FC693F" w:rsidRPr="0006063C" w:rsidSect="00034616">
      <w:pgSz w:w="11906" w:h="16838"/>
      <w:pgMar w:top="964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93" w:lineRule="auto"/>
    </w:pPr>
    <w:rPr>
      <w:rFonts w:ascii="Microsoft YaHei" w:hAnsi="Microsoft YaHei" w:eastAsia="Microsoft YaHei"/>
      <w:color w:val="1F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