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会议总结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6"/>
        </w:rPr>
        <w:t>恩和生物 IPO 路演暨尽职调查沟通</w:t>
      </w:r>
    </w:p>
    <w:p>
      <w:pPr>
        <w:pBdr>
          <w:bottom w:val="single" w:sz="6" w:space="1" w:color="1F4E79"/>
        </w:pBdr>
      </w:pP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会议性质：</w:t>
      </w:r>
      <w:r>
        <w:rPr>
          <w:rFonts w:ascii="微软雅黑" w:hAnsi="微软雅黑" w:eastAsia="微软雅黑"/>
          <w:sz w:val="21"/>
        </w:rPr>
        <w:t>投资方 / 投行与公司就 IPO 募资进行的项目介绍及尽职调查问答（会后参观实验室）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参会方：</w:t>
      </w:r>
      <w:r>
        <w:rPr>
          <w:rFonts w:ascii="微软雅黑" w:hAnsi="微软雅黑" w:eastAsia="微软雅黑"/>
          <w:sz w:val="21"/>
        </w:rPr>
        <w:t>投资方 / 投行代表；公司募资负责人（创始人崔博士出差缺席，募资事项主要由该负责人对接）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备注：</w:t>
      </w:r>
      <w:r>
        <w:rPr>
          <w:rFonts w:ascii="微软雅黑" w:hAnsi="微软雅黑" w:eastAsia="微软雅黑"/>
          <w:sz w:val="21"/>
        </w:rPr>
        <w:t>公司名按录音转写记录为「恩和」，全称 / 英文名需核实；文中金额、增速等数字均引自发言原话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一、IPO 进展（核心信息）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投行本周正在做密交 refile，更新数据后将把新版招股书（密交形式）递交交易所；双方已签 NDA，材料 ready 后会提供给投资方。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上市时间预计年底；关键卡点在中国证监会备案——去年 9 月已递交，目前处于问询第二轮，仍在沟通推进。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红筹架构：此前认为仅 H 股能拿备案，但近期已见红筹（如 momentum）及另一 18A 项目口头拿到备案，说明红筹并非一刀切。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判断：国内备案是关键，国内走通后香港发行会很快。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二、公司与赛道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2019 年杭州成立，创始人崔博士（MIT 博士 + 哈佛医学院联合培养）；定位生物制造 / 合成生物学 + AI。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核心逻辑：用含碳原料（葡萄糖、秸秆等）喂微生物（如大肠杆菌），通过基因编辑改造菌株，使其代谢产出目标物质，环保且低成本。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市场：潜在规模约 6 万亿美元；中国占全球约 70% 生物发酵产能；属“十五五”重点发展行业，下游覆盖化学品、材料、能源、食品营养、农业、个护等。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三、技术平台与护城河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DBTL 闭环平台（Design-Build-Test-Learn）+ 高通量实验室（96 孔板 ×40 板 ≈ 4000 实验 / 次；检测 7 秒 / 样本）。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效率跃迁：单分子从约 5000 万美元 / 6–8 年降至约 500 万美元 / 1–3 年；菌株构建从“博士 4–5 年 1000 个”到平台“一年 100 多万个”。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全球最大全流程 AI-ready 数据库：数据来自公开库 + 7 年自有实验数据；强调闭环数据（研发到大规模生产全程自有），为模型 post-training 的核心资产。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三层（类比自动驾驶）：科研理解 → 实验方案生成 → 协议语言下发、软件驱动硬件执行，即“物理 AI / 增强型科学家”，在生物制造垂类 benchmark 达 SOTA。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四、商业模式（一站式生物解决方案，全管线交付）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自有管线：</w:t>
      </w:r>
      <w:r>
        <w:rPr>
          <w:rFonts w:ascii="微软雅黑" w:hAnsi="微软雅黑" w:eastAsia="微软雅黑"/>
          <w:sz w:val="21"/>
        </w:rPr>
        <w:t>自研自产自销，利润 100% 归己。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联合开发：</w:t>
      </w:r>
      <w:r>
        <w:rPr>
          <w:rFonts w:ascii="微软雅黑" w:hAnsi="微软雅黑" w:eastAsia="微软雅黑"/>
          <w:sz w:val="21"/>
        </w:rPr>
        <w:t>客户提需求并以里程碑付款分担前期研发成本，项目共有；早期无产能时用销售分成 / profit sharing，现有产能后转向定制化开发生产。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选品策略：</w:t>
      </w:r>
      <w:r>
        <w:rPr>
          <w:rFonts w:ascii="微软雅黑" w:hAnsi="微软雅黑" w:eastAsia="微软雅黑"/>
          <w:sz w:val="21"/>
        </w:rPr>
        <w:t>当前聚焦食品营养、个护（易触达、审批较易、毛利高）；未来 3–5 年切入大宗工业化学品（单品几十亿规模，难度 / 法规更高）。短期现金流项目与长期高价值项目并行。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五、财务与产能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04"/>
        <w:gridCol w:w="6624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去年收入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1.7 亿元人民币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整体毛利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40%+（食品营养 30–40%，个护 50–60%）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今年预计增速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50%–60%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研发费用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约 7000 多万元（约占收入 30%，绝对值多年稳定）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盈亏平衡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预计未来 1–2 年实现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 年累计 40+ 项目，15 个已商业化，在研 25 个（半年 +50%），同时跑 20+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产能布局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杭州中试；山东德州（去年二期扩产）；鄂尔多斯 4000 吨（今年底投产）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产能节奏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明后两年为产能释放最快、收入高增的两年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六、团队 / 股东 / 客户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团队约 300 人，国际化双语；核心含崔博士、易书、朱杰、查理（美国领先公司背景）、陆总（BD，20–30 年经验）。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财务 / 产业投资人：红杉、经纬、源码、五源；产业方巴斯夫、鄂尔多斯、伊利。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客户：巴斯夫、雅诗兰黛、欧莱雅、百事（BP1 碳酸饮料生物级防腐剂）、伊利（食品酶）、先正达等全球头部；欧洲为重点拓展方向。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七、监管 / 认证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因品而异：已有生物法产品（如乳酸链球菌素）无需重批；全球首个生物法生产的玉米黄质（护眼营养品）上月通过美国 FDA GRAS 认证；个护功效类多由下游客户做功效验证即可。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不涉及转基因终端：只编辑作为“生产工厂”的菌株 DNA，终端产物非直接转基因食品；农业杀菌剂类审批更复杂。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设备：工厂发酵罐等以国产为主；实验室最前端高通量设备仍以进口为主（海外更领先）。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八、投资方反馈与重点关注（Q&amp;A）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投资方态度积极：认为赛道蓝海、基本无直接竞争对手、具先发 / 护城河优势，前景“无可限量”，看好稳扎稳打。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主要追问：① 数据来源与自有数据价值（确认为核心护城河，类比 Anthropic 收购垂类数据）；② 自产 vs 委托的利益分配；③ 合作中的 IP 归属（按单品框架约定，客户拿不到平台迭代能力）；④ 重资产基地定位（视为壁垒，双轨制减轻投入）；⑤ 客户依赖与长期绑定（替代成本高、磨合 6–7 个月，进入名单后粘性强）；⑥ 认证与转基因合规。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九、后续待跟进事项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投行完成密交 refile，新版招股书 ready 后按 NDA 提供给投资方。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持续推进中国证监会备案（问询第二轮回复），关注红筹备案窗口。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会后实地参观实验室（高通量平台、AI 驱动实验流程）。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（投资方侧）基于材料与本次沟通做进一步投资评估。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