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Arial" w:hAnsi="Arial" w:eastAsia="微软雅黑"/>
          <w:b/>
          <w:i w:val="0"/>
          <w:color w:val="002060"/>
          <w:sz w:val="34"/>
        </w:rPr>
        <w:t>客户现场审计跟进会 —— 改进要点总结</w:t>
      </w:r>
    </w:p>
    <w:p>
      <w:pPr>
        <w:spacing w:before="0" w:after="40" w:line="324" w:lineRule="auto"/>
        <w:jc w:val="center"/>
      </w:pPr>
      <w:r>
        <w:rPr>
          <w:rFonts w:ascii="Arial" w:hAnsi="Arial" w:eastAsia="微软雅黑"/>
          <w:b w:val="0"/>
          <w:i w:val="0"/>
          <w:color w:val="1F4E79"/>
          <w:sz w:val="21"/>
        </w:rPr>
        <w:t>Onsite Audit Follow-up Discussion — Improvement Summary for Management</w:t>
      </w:r>
    </w:p>
    <w:p>
      <w:pPr>
        <w:spacing w:before="0" w:after="200" w:line="324" w:lineRule="auto"/>
        <w:jc w:val="center"/>
      </w:pPr>
      <w:r>
        <w:rPr>
          <w:rFonts w:ascii="Arial" w:hAnsi="Arial" w:eastAsia="微软雅黑"/>
          <w:b w:val="0"/>
          <w:i w:val="0"/>
          <w:color w:val="404040"/>
          <w:sz w:val="18"/>
        </w:rPr>
        <w:t>会议时间：2026 年 9 月 18 日（周五）10:51 – 11:57   |   来源：会议录音文字记录（新录音 4）   |   内部汇报材料</w:t>
      </w:r>
    </w:p>
    <w:p>
      <w:pPr>
        <w:keepNext/>
        <w:pBdr>
          <w:bottom w:val="single" w:sz="8" w:space="2" w:color="1F4E79"/>
        </w:pBdr>
        <w:spacing w:before="260" w:after="120"/>
      </w:pPr>
      <w:r>
        <w:rPr>
          <w:rFonts w:ascii="Arial" w:hAnsi="Arial" w:eastAsia="微软雅黑"/>
          <w:b/>
          <w:i w:val="0"/>
          <w:color w:val="002060"/>
          <w:sz w:val="26"/>
        </w:rPr>
        <w:t>一、总体判断</w:t>
      </w:r>
      <w:r>
        <w:rPr>
          <w:rFonts w:ascii="Arial" w:hAnsi="Arial" w:eastAsia="微软雅黑"/>
          <w:b w:val="0"/>
          <w:i w:val="0"/>
          <w:color w:val="1F4E79"/>
          <w:sz w:val="19"/>
        </w:rPr>
        <w:t xml:space="preserve">  Executive Summary</w:t>
      </w:r>
    </w:p>
    <w:p>
      <w:pPr>
        <w:spacing w:before="0" w:after="10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</w:rPr>
        <w:t>客户认可近几日的沟通与进展，但明确表示</w:t>
      </w:r>
      <w:r>
        <w:rPr>
          <w:rFonts w:ascii="Arial" w:hAnsi="Arial" w:eastAsia="微软雅黑"/>
          <w:b/>
          <w:i w:val="0"/>
          <w:color w:val="002060"/>
          <w:sz w:val="21"/>
        </w:rPr>
        <w:t>“仍有改进空间”</w:t>
      </w:r>
      <w:r>
        <w:rPr>
          <w:rFonts w:ascii="Arial" w:hAnsi="Arial" w:eastAsia="微软雅黑"/>
          <w:b w:val="0"/>
          <w:i w:val="0"/>
          <w:color w:val="404040"/>
          <w:sz w:val="21"/>
        </w:rPr>
        <w:t>。三位审计人员的现场记录已汇总为约 60 项清单（含优先级与分类），会后正式发我方；客户提示清单由 AI 工具汇总，个别条目可能重叠或表述不清。</w:t>
      </w:r>
    </w:p>
    <w:p>
      <w:pPr>
        <w:spacing w:before="0" w:after="10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</w:rPr>
        <w:t>客户明示最担心的两个方面：</w:t>
      </w:r>
      <w:r>
        <w:rPr>
          <w:rFonts w:ascii="Arial" w:hAnsi="Arial" w:eastAsia="微软雅黑"/>
          <w:b/>
          <w:i w:val="0"/>
          <w:color w:val="002060"/>
          <w:sz w:val="21"/>
        </w:rPr>
        <w:t>① Category 3/4 设备的卫生级设计缺口</w:t>
      </w:r>
      <w:r>
        <w:rPr>
          <w:rFonts w:ascii="Arial" w:hAnsi="Arial" w:eastAsia="微软雅黑"/>
          <w:b w:val="0"/>
          <w:i w:val="0"/>
          <w:color w:val="404040"/>
          <w:sz w:val="21"/>
        </w:rPr>
        <w:t>（死角、球阀、法兰、不可排空结构、隔膜泵）；</w:t>
      </w:r>
      <w:r>
        <w:rPr>
          <w:rFonts w:ascii="Arial" w:hAnsi="Arial" w:eastAsia="微软雅黑"/>
          <w:b/>
          <w:i w:val="0"/>
          <w:color w:val="002060"/>
          <w:sz w:val="21"/>
        </w:rPr>
        <w:t>② 纯化水系统</w:t>
      </w:r>
      <w:r>
        <w:rPr>
          <w:rFonts w:ascii="Arial" w:hAnsi="Arial" w:eastAsia="微软雅黑"/>
          <w:b w:val="0"/>
          <w:i w:val="0"/>
          <w:color w:val="404040"/>
          <w:sz w:val="21"/>
        </w:rPr>
        <w:t>（总管盲段、无使用点取样与排放）。这两项也是工作量最大的两块。</w:t>
      </w:r>
    </w:p>
    <w:p>
      <w:pPr>
        <w:spacing w:before="0" w:after="10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</w:rPr>
        <w:t>策略层面关注度最高的是</w:t>
      </w:r>
      <w:r>
        <w:rPr>
          <w:rFonts w:ascii="Arial" w:hAnsi="Arial" w:eastAsia="微软雅黑"/>
          <w:b/>
          <w:i w:val="0"/>
          <w:color w:val="002060"/>
          <w:sz w:val="21"/>
        </w:rPr>
        <w:t>清洁（清洁程序如何制定、执行、记录）</w:t>
      </w:r>
      <w:r>
        <w:rPr>
          <w:rFonts w:ascii="Arial" w:hAnsi="Arial" w:eastAsia="微软雅黑"/>
          <w:b w:val="0"/>
          <w:i w:val="0"/>
          <w:color w:val="404040"/>
          <w:sz w:val="21"/>
        </w:rPr>
        <w:t>，客户要求设立固定频次的清洁专题会，并把验证就绪（VOA）讨论从 JPT 工艺技术会中独立出来。</w:t>
      </w:r>
    </w:p>
    <w:p>
      <w:pPr>
        <w:spacing w:before="0" w:after="10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</w:rPr>
        <w:t>客户特别指出：来现场前依据我方提供的差距清单（Excel），预期现场缺口应更少，实际走查发现的问题偏多 —— 说明我方自查的判定标准与清单完整性需要重建。</w:t>
      </w:r>
    </w:p>
    <w:p>
      <w:pPr>
        <w:spacing w:before="0" w:after="10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</w:rPr>
        <w:t>客户对工作方式提出明确要求：重大改造</w:t>
      </w:r>
      <w:r>
        <w:rPr>
          <w:rFonts w:ascii="Arial" w:hAnsi="Arial" w:eastAsia="微软雅黑"/>
          <w:b/>
          <w:i w:val="0"/>
          <w:color w:val="002060"/>
          <w:sz w:val="21"/>
        </w:rPr>
        <w:t>投入前先把方案/草图送客户预审</w:t>
      </w:r>
      <w:r>
        <w:rPr>
          <w:rFonts w:ascii="Arial" w:hAnsi="Arial" w:eastAsia="微软雅黑"/>
          <w:b w:val="0"/>
          <w:i w:val="0"/>
          <w:color w:val="404040"/>
          <w:sz w:val="21"/>
        </w:rPr>
        <w:t>；对清单有疑问立即提问；我方记录中若有客户清单遗漏的项要主动上报；增加逐接口的细节视频与远程直播走查；恢复生产前客户可能再安排一次现场访问。</w:t>
      </w:r>
    </w:p>
    <w:p>
      <w:pPr>
        <w:spacing w:before="0" w:after="100" w:line="324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■ </w:t>
      </w:r>
      <w:r>
        <w:rPr>
          <w:rFonts w:ascii="Arial" w:hAnsi="Arial" w:eastAsia="微软雅黑"/>
          <w:b w:val="0"/>
          <w:i w:val="0"/>
          <w:color w:val="404040"/>
          <w:sz w:val="21"/>
        </w:rPr>
        <w:t>下一步我方需要交付的是一份</w:t>
      </w:r>
      <w:r>
        <w:rPr>
          <w:rFonts w:ascii="Arial" w:hAnsi="Arial" w:eastAsia="微软雅黑"/>
          <w:b/>
          <w:i w:val="0"/>
          <w:color w:val="002060"/>
          <w:sz w:val="21"/>
        </w:rPr>
        <w:t>可 100% 追溯的整改台账 + 明确时间表</w:t>
      </w:r>
      <w:r>
        <w:rPr>
          <w:rFonts w:ascii="Arial" w:hAnsi="Arial" w:eastAsia="微软雅黑"/>
          <w:b w:val="0"/>
          <w:i w:val="0"/>
          <w:color w:val="404040"/>
          <w:sz w:val="21"/>
        </w:rPr>
        <w:t>，并与罐区钝化窗口（11 号楼 20 d / 12 号楼 42 d）统一对齐口径。</w:t>
      </w:r>
    </w:p>
    <w:p>
      <w:pPr>
        <w:keepNext/>
        <w:pBdr>
          <w:bottom w:val="single" w:sz="8" w:space="2" w:color="1F4E79"/>
        </w:pBdr>
        <w:spacing w:before="260" w:after="120"/>
      </w:pPr>
      <w:r>
        <w:rPr>
          <w:rFonts w:ascii="Arial" w:hAnsi="Arial" w:eastAsia="微软雅黑"/>
          <w:b/>
          <w:i w:val="0"/>
          <w:color w:val="002060"/>
          <w:sz w:val="26"/>
        </w:rPr>
        <w:t>二、改进要点清单</w:t>
      </w:r>
      <w:r>
        <w:rPr>
          <w:rFonts w:ascii="Arial" w:hAnsi="Arial" w:eastAsia="微软雅黑"/>
          <w:b w:val="0"/>
          <w:i w:val="0"/>
          <w:color w:val="1F4E79"/>
          <w:sz w:val="19"/>
        </w:rPr>
        <w:t xml:space="preserve">  Improvement Actions by Topic</w:t>
      </w:r>
    </w:p>
    <w:p>
      <w:pPr>
        <w:spacing w:before="0" w:after="120" w:line="324" w:lineRule="auto"/>
      </w:pPr>
      <w:r>
        <w:rPr>
          <w:rFonts w:ascii="Arial" w:hAnsi="Arial" w:eastAsia="微软雅黑"/>
          <w:b w:val="0"/>
          <w:i w:val="0"/>
          <w:color w:val="1F4E79"/>
          <w:sz w:val="18"/>
        </w:rPr>
        <w:t>优先级说明：“高（客户明示）”为客户在会上明确点为高风险/高紧急的事项；“高（建议）”为依据客户表述判断应按高优先级推进；其余为中。</w:t>
      </w:r>
    </w:p>
    <w:p>
      <w:pPr>
        <w:keepNext/>
        <w:spacing w:before="200" w:after="80"/>
      </w:pPr>
      <w:r>
        <w:rPr>
          <w:rFonts w:ascii="Arial" w:hAnsi="Arial" w:eastAsia="微软雅黑"/>
          <w:b/>
          <w:i w:val="0"/>
          <w:color w:val="1F4E79"/>
          <w:sz w:val="22"/>
        </w:rPr>
        <w:t>1. 清洁与清洁验证（策略层面最高关注）</w:t>
      </w:r>
    </w:p>
    <w:tbl>
      <w:tblPr>
        <w:tblStyle w:val="TableGrid"/>
        <w:jc w:val="center"/>
        <w:tblLook w:firstColumn="1" w:firstRow="1" w:lastColumn="0" w:lastRow="0" w:noHBand="0" w:noVBand="1" w:val="04A0"/>
        <w:tblW w:w="9582" w:type="dxa"/>
        <w:tblLayout w:type="fixed"/>
      </w:tblPr>
      <w:tblGrid>
        <w:gridCol w:w="624"/>
        <w:gridCol w:w="3515"/>
        <w:gridCol w:w="4025"/>
        <w:gridCol w:w="1417"/>
      </w:tblGrid>
      <w:tr>
        <w:trPr>
          <w:cantSplit/>
          <w:tblHeader/>
        </w:trPr>
        <w:tc>
          <w:tcPr>
            <w:tcW w:type="dxa" w:w="624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type="dxa" w:w="351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客户发现 / 期望</w:t>
            </w:r>
          </w:p>
        </w:tc>
        <w:tc>
          <w:tcPr>
            <w:tcW w:type="dxa" w:w="402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需落实的改进要点</w:t>
            </w:r>
          </w:p>
        </w:tc>
        <w:tc>
          <w:tcPr>
            <w:tcW w:type="dxa" w:w="1417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优先级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1.1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客户对我方清洁策略的整体思路，以及清洁程序如何制定、执行、记录，理解仍不清晰，认为这是当前最高关注领域。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编制完整的清洁策略文件（制定依据、执行方式、记录方式、与验证的衔接），先提交客户预审；同时建立固定频次的清洁专题沟通会，与工艺技术例会分开。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1.2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清洁验证的擦拭/淋洗回收率（swab / rinse recovery）通常在不锈钢表面建立，未覆盖隔膜等大面积软质部件。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在清洁验证方案中补充软质部件的取样点与回收率研究，确认各类软质材料的取样代表性。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（建议）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1.3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客户已由压力控制改为流量控制 CIP：颗粒物部分堵塞喷淋球时，供水压力不变但实际流量下降，压力控制无法识别。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评估 CIP 关键参数改为流量控制（或压力+流量双监控），并设置低于验证条件的报警，使操作人员可即时发现异常。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（建议）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1.4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客户希望用数据说明清洁限度的裕度（例如以 10 倍挑战量验证通过，则实际溶剂用量更大时仍有裕度）。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整理清洁限度计算假设与实际溶剂用量的对比，量化安全裕度，作为后续讨论材料。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</w:tr>
    </w:tbl>
    <w:p>
      <w:pPr>
        <w:keepNext/>
        <w:spacing w:before="200" w:after="80"/>
      </w:pPr>
      <w:r>
        <w:rPr>
          <w:rFonts w:ascii="Arial" w:hAnsi="Arial" w:eastAsia="微软雅黑"/>
          <w:b/>
          <w:i w:val="0"/>
          <w:color w:val="1F4E79"/>
          <w:sz w:val="22"/>
        </w:rPr>
        <w:t>2. Category 3/4 设备卫生级设计缺口（核心关注之一，工作量最大）</w:t>
      </w:r>
    </w:p>
    <w:tbl>
      <w:tblPr>
        <w:tblStyle w:val="TableGrid"/>
        <w:jc w:val="center"/>
        <w:tblLook w:firstColumn="1" w:firstRow="1" w:lastColumn="0" w:lastRow="0" w:noHBand="0" w:noVBand="1" w:val="04A0"/>
        <w:tblW w:w="9582" w:type="dxa"/>
        <w:tblLayout w:type="fixed"/>
      </w:tblPr>
      <w:tblGrid>
        <w:gridCol w:w="624"/>
        <w:gridCol w:w="3515"/>
        <w:gridCol w:w="4025"/>
        <w:gridCol w:w="1417"/>
      </w:tblGrid>
      <w:tr>
        <w:trPr>
          <w:cantSplit/>
          <w:tblHeader/>
        </w:trPr>
        <w:tc>
          <w:tcPr>
            <w:tcW w:type="dxa" w:w="624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type="dxa" w:w="351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客户发现 / 期望</w:t>
            </w:r>
          </w:p>
        </w:tc>
        <w:tc>
          <w:tcPr>
            <w:tcW w:type="dxa" w:w="402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需落实的改进要点</w:t>
            </w:r>
          </w:p>
        </w:tc>
        <w:tc>
          <w:tcPr>
            <w:tcW w:type="dxa" w:w="1417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优先级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2.0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客户期望（Cat 4 范围：促生长溶液、水基/碱性溶液、水、产品或清洁接触）：不得有球阀、法兰、死角、难清洁结构，必须可排空。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以此标准重建设备差距清单的判定准则，并作为逐线走查的验收依据。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2.1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纯化水罐 T01 顶部及其供水管线上仍存在球阀，其他位置也有类似情况。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全面排查球阀并更换为卫生级阀门；无法更换的进入例外台账（见 2.10）。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2.2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罐顶接管过长、喷淋球无法覆盖；更差的是长接管上再接仪表三通，形成完全无法覆盖的支管。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按 ASME BPE 评估各接管长度/长径比，缩短或改造；确无法改造的提供可验证的替代清洁方式。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2.3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插入管（dip tube）采用钩式支撑，接触处形成缝隙；顶部温度计使用长开口插入管，内壁无法清洁。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改为无缝隙支撑方式；温度检测改为焊接在封头/罐底的套管（thermowell），RTD 不接触物料且表面平滑可清洁。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2.4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液位差压变送器采用两个水平外接口加膜盒，罐体排空后水平段仍积液。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优先改为非接触式雷达液位；必须使用差压时，采用平膜（flush-mount）卫生型膜片直接焊接在罐底，与罐壁连续平滑。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2.5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低点排放缺失或不可用：过滤器进出口两侧无低点（无法反向吹通滤芯）；已有低点阀口径过小，靠表面张力就排不净。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系统评估低点排放的设置位置与口径，特别是过滤器前后；对口径不足的低点阀提出更换方案。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2.6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多台流量计安装在不可排空方向（水平安装、腹部朝下）。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优先改为竖直安装；无法竖直的至少旋转 90°，使其能顺管道坡度排空。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2.7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Cat 3/4 设备上仍有法兰连接，以及螺栓固定的搅拌桨（不止一台罐，多台存在）。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对全部罐体逐台核查法兰与搅拌桨固定方式；受压力容器认证限制短期无法更换的，见 2.12。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2.8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死角普遍存在，未使用零死角阀/无支管三通。典型例：沉淀罐底部排放阀支管；分馏出口两路长三通 —— 先走废液的支管会留存废液，切换后可能把废液段推入主流。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逐点改造为零死角阀或最小 L/D 结构；改造方案（含分馏管线设计、排放阀处理方式）先出草图送客户预审再实施。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2.9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隔膜泵（PD pump）用于产品/促生长溶液管线：内部止回结构导致无法完全排空，出口歧管垂直段必然残留。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长期：取消泵送改压差/顶空压力输送，或改用卫生级离心泵（无止回、可全排空，配变频调速）。短期：确保每台泵进出口均设低点排放，并在操作与清洁文件中固化“排放 + 氮气吹扫（顶开止回阀、吹至低点）”步骤，形成残留最小化的证据链。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2.10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客户要求逐条逐线走查：凡促生长溶液、产品接触、清洁溶液管线上出现球阀、法兰、死角，一律整改；确因交期/资源无法整改的，必须 100% 可追溯。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组建专项小组按管线逐条走查，建立单点台账（位置、类别、判定、整改方式/例外理由）；例外项在清洁文件中固化补偿控制（如非零死角排放阀需人工切换冲洗、增加检查项）。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2.11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范围判定：Cat 4 覆盖促生长、缓冲液/水基、产品与清洁接触；高有机相可适度放宽（客户提到约 2% 的界限，需核实）。客户强调我方是多产品/多客户共线，即使仅缓冲液系统，最佳实践也不应存在低点。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明确设备使用范围并做清晰标识（“该设备仅用于…”），据此界定整改范围；分类有疑问直接邮件向客户确认（客户已提供 Cat 1–4 判定流程图）；对暂时放宽项制定长期更换计划。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2.12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部分法兰因压力容器认证等因素短期难以更换。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对保留项在清洁文件中写明专门的清洁指令与检查要求（含拆检、目视确认），并纳入例外台账。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</w:tr>
    </w:tbl>
    <w:p>
      <w:pPr>
        <w:keepNext/>
        <w:spacing w:before="200" w:after="80"/>
      </w:pPr>
      <w:r>
        <w:rPr>
          <w:rFonts w:ascii="Arial" w:hAnsi="Arial" w:eastAsia="微软雅黑"/>
          <w:b/>
          <w:i w:val="0"/>
          <w:color w:val="1F4E79"/>
          <w:sz w:val="22"/>
        </w:rPr>
        <w:t>3. 纯化水系统（核心关注之二）</w:t>
      </w:r>
    </w:p>
    <w:tbl>
      <w:tblPr>
        <w:tblStyle w:val="TableGrid"/>
        <w:jc w:val="center"/>
        <w:tblLook w:firstColumn="1" w:firstRow="1" w:lastColumn="0" w:lastRow="0" w:noHBand="0" w:noVBand="1" w:val="04A0"/>
        <w:tblW w:w="9582" w:type="dxa"/>
        <w:tblLayout w:type="fixed"/>
      </w:tblPr>
      <w:tblGrid>
        <w:gridCol w:w="624"/>
        <w:gridCol w:w="3515"/>
        <w:gridCol w:w="4025"/>
        <w:gridCol w:w="1417"/>
      </w:tblGrid>
      <w:tr>
        <w:trPr>
          <w:cantSplit/>
          <w:tblHeader/>
        </w:trPr>
        <w:tc>
          <w:tcPr>
            <w:tcW w:type="dxa" w:w="624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type="dxa" w:w="351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客户发现 / 期望</w:t>
            </w:r>
          </w:p>
        </w:tc>
        <w:tc>
          <w:tcPr>
            <w:tcW w:type="dxa" w:w="402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需落实的改进要点</w:t>
            </w:r>
          </w:p>
        </w:tc>
        <w:tc>
          <w:tcPr>
            <w:tcW w:type="dxa" w:w="1417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优先级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3.1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长总管（header）在各用户点无隔离阀：向某个罐送水时，其余支管形成盲段积水且无法排出。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改造总管，在每个用户点增设隔离阀，确保供水时只有直通路径，不再充填其他盲段。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3.2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各用户点无排放阀，使用前无法冲洗排废，使用后管内残水长期滞留。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在每个用户点增设排放阀，实现使用前冲洗排废、使用后吹扫排空，并写入操作文件。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3.3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取样点远离使用点，缺少使用点（point of use）水质数据，无法直接证明供某罐的水符合质量要求。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将新增的用户点排放阀设为纯化水验证取样点，使每个用户点都有可追溯的水质数据。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3.4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客户介绍其验证方式：三阶段验证（Phase 1/2 每日监测、Phase 3 每周/每月），逐点检测（TOC、电导、内毒素、微生物、硝酸盐等）；日常生产按周期取样，不需每次使用取样。改造后若无法立即完成完整验证，可采用简化验证（数天/数周数据）、抓取样品或同步验证并附论证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提出改造后的取样与验证方案（含完整验证 / 简化验证 / 同步验证的选择与论证）报客户预审，明确所需停机窗口与检测资源。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3.5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使用点水过滤器：促生长溶液管线（如 R05，软管长期存放在 CNC 区）应设使用点过滤器；非促生长管线不建议设置（过滤器本身带风险）。客户同时质疑过滤器可在线放置多久不更换（倾向不超过约 24 小时湿态，需核实）。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制定使用点水过滤器的设置原则（按介质是否促生长区分）与最长使用/更换周期规定，并在现场执行与记录。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3.6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客户已提供水系统相关指南文件（文件名需核实），其中列有具体期望案例，要求我方对照阅读。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获取并研读该指南，逐条比对我方水系统现状，纳入整改台账。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</w:tr>
    </w:tbl>
    <w:p>
      <w:pPr>
        <w:keepNext/>
        <w:spacing w:before="200" w:after="80"/>
      </w:pPr>
      <w:r>
        <w:rPr>
          <w:rFonts w:ascii="Arial" w:hAnsi="Arial" w:eastAsia="微软雅黑"/>
          <w:b/>
          <w:i w:val="0"/>
          <w:color w:val="1F4E79"/>
          <w:sz w:val="22"/>
        </w:rPr>
        <w:t>4. 物料流、投料方式与污染控制</w:t>
      </w:r>
    </w:p>
    <w:tbl>
      <w:tblPr>
        <w:tblStyle w:val="TableGrid"/>
        <w:jc w:val="center"/>
        <w:tblLook w:firstColumn="1" w:firstRow="1" w:lastColumn="0" w:lastRow="0" w:noHBand="0" w:noVBand="1" w:val="04A0"/>
        <w:tblW w:w="9582" w:type="dxa"/>
        <w:tblLayout w:type="fixed"/>
      </w:tblPr>
      <w:tblGrid>
        <w:gridCol w:w="624"/>
        <w:gridCol w:w="3515"/>
        <w:gridCol w:w="4025"/>
        <w:gridCol w:w="1417"/>
      </w:tblGrid>
      <w:tr>
        <w:trPr>
          <w:cantSplit/>
          <w:tblHeader/>
        </w:trPr>
        <w:tc>
          <w:tcPr>
            <w:tcW w:type="dxa" w:w="624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type="dxa" w:w="351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客户发现 / 期望</w:t>
            </w:r>
          </w:p>
        </w:tc>
        <w:tc>
          <w:tcPr>
            <w:tcW w:type="dxa" w:w="402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需落实的改进要点</w:t>
            </w:r>
          </w:p>
        </w:tc>
        <w:tc>
          <w:tcPr>
            <w:tcW w:type="dxa" w:w="1417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优先级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4.1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物料进入厂房的路径缺乏控制：存在由室外直接进入 CNC 区的门、无气锁，污染风险高。客户列为较高优先级。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开展污染风险评估；短期给出缓解措施（受控开门程序、清洁与监测加严等），长期按带压差气锁的新厂房设计方案改造，并与新厂房设计对齐确认。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4.2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投料方式：客户期望尽可能密闭投料。现状举例 —— R05 加碱液使用扎带固定的敞开料斗接普通蝶阀，投料后料斗残留、蝶阀上侧积粉；位于多产品共用 CNC 区、操作工无防护，散落物可能经气锁带入洁净区。客户强调这更多是环境与交叉污染风险。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制定短期方案（防护、清洁确认、区域限制）与长期方案（密闭投料/软管密闭转移），并评估投资与实施节点。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4.3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现场目视化与防护不足：软管端头可能落在储存架下方地面；开口/端口缺少统一防护；部分设备防护罩需升级。客户建议在储存架下方离地约 6 英寸处划线，端口使用专用防护材料（客户提到 “Bio Shield”，品名需核实）。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制定统一的现场防护与目视化标准（划线、端口防护、设备罩），排期实施并纳入日常检查。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4.4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部分管线坡度背离排放点，未坡向低点。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对全部相关管线做坡度专项排查并整改，形成记录。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</w:tr>
    </w:tbl>
    <w:p>
      <w:pPr>
        <w:keepNext/>
        <w:spacing w:before="200" w:after="80"/>
      </w:pPr>
      <w:r>
        <w:rPr>
          <w:rFonts w:ascii="Arial" w:hAnsi="Arial" w:eastAsia="微软雅黑"/>
          <w:b/>
          <w:i w:val="0"/>
          <w:color w:val="1F4E79"/>
          <w:sz w:val="22"/>
        </w:rPr>
        <w:t>5. 临时容器与水的存放时限</w:t>
      </w:r>
    </w:p>
    <w:tbl>
      <w:tblPr>
        <w:tblStyle w:val="TableGrid"/>
        <w:jc w:val="center"/>
        <w:tblLook w:firstColumn="1" w:firstRow="1" w:lastColumn="0" w:lastRow="0" w:noHBand="0" w:noVBand="1" w:val="04A0"/>
        <w:tblW w:w="9582" w:type="dxa"/>
        <w:tblLayout w:type="fixed"/>
      </w:tblPr>
      <w:tblGrid>
        <w:gridCol w:w="624"/>
        <w:gridCol w:w="3515"/>
        <w:gridCol w:w="4025"/>
        <w:gridCol w:w="1417"/>
      </w:tblGrid>
      <w:tr>
        <w:trPr>
          <w:cantSplit/>
          <w:tblHeader/>
        </w:trPr>
        <w:tc>
          <w:tcPr>
            <w:tcW w:type="dxa" w:w="624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type="dxa" w:w="351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客户发现 / 期望</w:t>
            </w:r>
          </w:p>
        </w:tc>
        <w:tc>
          <w:tcPr>
            <w:tcW w:type="dxa" w:w="402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需落实的改进要点</w:t>
            </w:r>
          </w:p>
        </w:tc>
        <w:tc>
          <w:tcPr>
            <w:tcW w:type="dxa" w:w="1417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优先级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5.1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多处工序使用临时容器储存/转运水（客户举例含 WFI、TFF 用水、标准溶液配制用水等，具体清单需核实）。客户列为最高优先级，认可我方正在推进。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完成各容器的保存时限（hold time）研究：从灌装 0 时起多长时间仍符合标准，超时则排空、清洁、重新灌装，并将结论写入操作文件。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5.2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客户认为最佳实践是“需要水的地方就有使用点直供”，避免中间容器。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制定长期减少临时容器使用的规划（增设使用点/管线直供），纳入厂房改造计划。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</w:tr>
    </w:tbl>
    <w:p>
      <w:pPr>
        <w:keepNext/>
        <w:spacing w:before="200" w:after="80"/>
      </w:pPr>
      <w:r>
        <w:rPr>
          <w:rFonts w:ascii="Arial" w:hAnsi="Arial" w:eastAsia="微软雅黑"/>
          <w:b/>
          <w:i w:val="0"/>
          <w:color w:val="1F4E79"/>
          <w:sz w:val="22"/>
        </w:rPr>
        <w:t>6. 换型（旧设备）与新设备投用前的清洁确认</w:t>
      </w:r>
    </w:p>
    <w:tbl>
      <w:tblPr>
        <w:tblStyle w:val="TableGrid"/>
        <w:jc w:val="center"/>
        <w:tblLook w:firstColumn="1" w:firstRow="1" w:lastColumn="0" w:lastRow="0" w:noHBand="0" w:noVBand="1" w:val="04A0"/>
        <w:tblW w:w="9582" w:type="dxa"/>
        <w:tblLayout w:type="fixed"/>
      </w:tblPr>
      <w:tblGrid>
        <w:gridCol w:w="624"/>
        <w:gridCol w:w="3515"/>
        <w:gridCol w:w="4025"/>
        <w:gridCol w:w="1417"/>
      </w:tblGrid>
      <w:tr>
        <w:trPr>
          <w:cantSplit/>
          <w:tblHeader/>
        </w:trPr>
        <w:tc>
          <w:tcPr>
            <w:tcW w:type="dxa" w:w="624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type="dxa" w:w="351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客户发现 / 期望</w:t>
            </w:r>
          </w:p>
        </w:tc>
        <w:tc>
          <w:tcPr>
            <w:tcW w:type="dxa" w:w="402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需落实的改进要点</w:t>
            </w:r>
          </w:p>
        </w:tc>
        <w:tc>
          <w:tcPr>
            <w:tcW w:type="dxa" w:w="1417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优先级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6.1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对于非全新、要用于本项目的设备，客户要求有设备清单和明确的换型方案，证明前一产品残留已被去除；并强调不能只停留在“按清洁限度跑一遍清洁”。风险点包括：未拆卸清洁的管线、软质部件（隔膜）、难清洁部件（过滤器、TFF 膜、可再装填的色谱树脂等）。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建立“非全新设备清单 + 换型（changeover）策略”，逐类明确清洁/更换/拆检方式与验收标准，提交客户评审。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6.2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对于全新设备，风险来自制造安装残留：焊接金属颗粒、遗留吹扫塞（purge plug）、抛光残留等。客户举例其内部做法：清洁后用饱和白布擦拭封头/筒壁各象限确认无残留；出口装筛网/过滤器做一次 CIP 后检查收集物。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把我方现有做法（IQ/PQ 后管道清洗与检测、首次溶剂冲洗并从底阀排放取样、逐条管线取样确认符合标准、长期存放的年度检测与保存评估）整理成正式策略文件，明确覆盖边界与需检测的部件，提交客户确认。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</w:tbl>
    <w:p>
      <w:pPr>
        <w:keepNext/>
        <w:spacing w:before="200" w:after="80"/>
      </w:pPr>
      <w:r>
        <w:rPr>
          <w:rFonts w:ascii="Arial" w:hAnsi="Arial" w:eastAsia="微软雅黑"/>
          <w:b/>
          <w:i w:val="0"/>
          <w:color w:val="1F4E79"/>
          <w:sz w:val="22"/>
        </w:rPr>
        <w:t>7. 过滤策略与文件控制</w:t>
      </w:r>
    </w:p>
    <w:tbl>
      <w:tblPr>
        <w:tblStyle w:val="TableGrid"/>
        <w:jc w:val="center"/>
        <w:tblLook w:firstColumn="1" w:firstRow="1" w:lastColumn="0" w:lastRow="0" w:noHBand="0" w:noVBand="1" w:val="04A0"/>
        <w:tblW w:w="9582" w:type="dxa"/>
        <w:tblLayout w:type="fixed"/>
      </w:tblPr>
      <w:tblGrid>
        <w:gridCol w:w="624"/>
        <w:gridCol w:w="3515"/>
        <w:gridCol w:w="4025"/>
        <w:gridCol w:w="1417"/>
      </w:tblGrid>
      <w:tr>
        <w:trPr>
          <w:cantSplit/>
          <w:tblHeader/>
        </w:trPr>
        <w:tc>
          <w:tcPr>
            <w:tcW w:type="dxa" w:w="624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type="dxa" w:w="351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客户发现 / 期望</w:t>
            </w:r>
          </w:p>
        </w:tc>
        <w:tc>
          <w:tcPr>
            <w:tcW w:type="dxa" w:w="402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需落实的改进要点</w:t>
            </w:r>
          </w:p>
        </w:tc>
        <w:tc>
          <w:tcPr>
            <w:tcW w:type="dxa" w:w="1417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优先级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7.1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液体物料/起始物料投料必须过滤 —— 已明确写入客户批准的策略文件（客户全球评审组批准，属强制要求），客户将此列为最高风险项之一。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复核我方现行做法与该策略文件的一致性；如有偏离，立即纠正或提交强论证，并对齐内部程序。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7.2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过滤器位置与更换频次应基于风险：非促生长物流（如流动相）每批更换反而因开系统增加风险，可考虑按时间（3–6 个月）更换。客户同时提醒我方内部程序目前写明一次性使用，不应与自身文件冲突。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先修订内部程序中的过滤器使用/更换条款（含风险评估依据），再按风险调整现场做法，避免自我违规。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7.3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客户询问我方如何通过文件控制确保策略/调查文件版本唯一、受控（录音此处不清）。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梳理相关文件的受控流程说明，并向客户确认其具体关注点后书面答复。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</w:tr>
    </w:tbl>
    <w:p>
      <w:pPr>
        <w:keepNext/>
        <w:spacing w:before="200" w:after="80"/>
      </w:pPr>
      <w:r>
        <w:rPr>
          <w:rFonts w:ascii="Arial" w:hAnsi="Arial" w:eastAsia="微软雅黑"/>
          <w:b/>
          <w:i w:val="0"/>
          <w:color w:val="1F4E79"/>
          <w:sz w:val="22"/>
        </w:rPr>
        <w:t>8. 罐体多余连接与配料区交叉污染</w:t>
      </w:r>
    </w:p>
    <w:tbl>
      <w:tblPr>
        <w:tblStyle w:val="TableGrid"/>
        <w:jc w:val="center"/>
        <w:tblLook w:firstColumn="1" w:firstRow="1" w:lastColumn="0" w:lastRow="0" w:noHBand="0" w:noVBand="1" w:val="04A0"/>
        <w:tblW w:w="9582" w:type="dxa"/>
        <w:tblLayout w:type="fixed"/>
      </w:tblPr>
      <w:tblGrid>
        <w:gridCol w:w="624"/>
        <w:gridCol w:w="3515"/>
        <w:gridCol w:w="4025"/>
        <w:gridCol w:w="1417"/>
      </w:tblGrid>
      <w:tr>
        <w:trPr>
          <w:cantSplit/>
          <w:tblHeader/>
        </w:trPr>
        <w:tc>
          <w:tcPr>
            <w:tcW w:type="dxa" w:w="624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type="dxa" w:w="351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客户发现 / 期望</w:t>
            </w:r>
          </w:p>
        </w:tc>
        <w:tc>
          <w:tcPr>
            <w:tcW w:type="dxa" w:w="402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需落实的改进要点</w:t>
            </w:r>
          </w:p>
        </w:tc>
        <w:tc>
          <w:tcPr>
            <w:tcW w:type="dxa" w:w="1417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优先级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8.1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多产品厂房内，罐体可能存在工艺并不需要的多余连接。客户标准期望：凡运行工艺不需要的连接，必须物理断开并加锁。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逐台评估罐体所有连接的必要性，形成风险评估与处置方案（断开+加锁清单），并文件化。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8.2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配料/分装区（dispensing area）的交叉污染风险已在会上讨论，需纳入上述评估。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将配料区的连接与操作纳入交叉污染风险评估范围，明确控制措施。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</w:tr>
    </w:tbl>
    <w:p>
      <w:pPr>
        <w:keepNext/>
        <w:spacing w:before="200" w:after="80"/>
      </w:pPr>
      <w:r>
        <w:rPr>
          <w:rFonts w:ascii="Arial" w:hAnsi="Arial" w:eastAsia="微软雅黑"/>
          <w:b/>
          <w:i w:val="0"/>
          <w:color w:val="1F4E79"/>
          <w:sz w:val="22"/>
        </w:rPr>
        <w:t>9. 调查项闭环与钝化影响沟通</w:t>
      </w:r>
    </w:p>
    <w:tbl>
      <w:tblPr>
        <w:tblStyle w:val="TableGrid"/>
        <w:jc w:val="center"/>
        <w:tblLook w:firstColumn="1" w:firstRow="1" w:lastColumn="0" w:lastRow="0" w:noHBand="0" w:noVBand="1" w:val="04A0"/>
        <w:tblW w:w="9582" w:type="dxa"/>
        <w:tblLayout w:type="fixed"/>
      </w:tblPr>
      <w:tblGrid>
        <w:gridCol w:w="624"/>
        <w:gridCol w:w="3515"/>
        <w:gridCol w:w="4025"/>
        <w:gridCol w:w="1417"/>
      </w:tblGrid>
      <w:tr>
        <w:trPr>
          <w:cantSplit/>
          <w:tblHeader/>
        </w:trPr>
        <w:tc>
          <w:tcPr>
            <w:tcW w:type="dxa" w:w="624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type="dxa" w:w="351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客户发现 / 期望</w:t>
            </w:r>
          </w:p>
        </w:tc>
        <w:tc>
          <w:tcPr>
            <w:tcW w:type="dxa" w:w="402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需落实的改进要点</w:t>
            </w:r>
          </w:p>
        </w:tc>
        <w:tc>
          <w:tcPr>
            <w:tcW w:type="dxa" w:w="1417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优先级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9.1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现场期间的调查/偏差相关行动项（约 7 项，含水系统相关）大部分已澄清，客户会上不再逐条讨论，但要求按行动项闭环（具体条目需与客户清单对齐）。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收到客户清单后逐项对齐编号，明确责任人与完成节点，按行动项闭环并留存证据。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9.2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客户团队对罐区/管路钝化造成的管线停用及项目影响表达关注。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主动向该团队沟通钝化方案与时间表（对应已完成的英文钝化汇报材料），说明影响范围（11 号楼 20 d / 12 号楼 42 d）与缓解措施，并保持对外口径一致。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</w:tbl>
    <w:p>
      <w:pPr>
        <w:keepNext/>
        <w:spacing w:before="200" w:after="80"/>
      </w:pPr>
      <w:r>
        <w:rPr>
          <w:rFonts w:ascii="Arial" w:hAnsi="Arial" w:eastAsia="微软雅黑"/>
          <w:b/>
          <w:i w:val="0"/>
          <w:color w:val="1F4E79"/>
          <w:sz w:val="22"/>
        </w:rPr>
        <w:t>10. 与客户的协作机制（客户明确提出的工作方式要求）</w:t>
      </w:r>
    </w:p>
    <w:tbl>
      <w:tblPr>
        <w:tblStyle w:val="TableGrid"/>
        <w:jc w:val="center"/>
        <w:tblLook w:firstColumn="1" w:firstRow="1" w:lastColumn="0" w:lastRow="0" w:noHBand="0" w:noVBand="1" w:val="04A0"/>
        <w:tblW w:w="9582" w:type="dxa"/>
        <w:tblLayout w:type="fixed"/>
      </w:tblPr>
      <w:tblGrid>
        <w:gridCol w:w="624"/>
        <w:gridCol w:w="3515"/>
        <w:gridCol w:w="4025"/>
        <w:gridCol w:w="1417"/>
      </w:tblGrid>
      <w:tr>
        <w:trPr>
          <w:cantSplit/>
          <w:tblHeader/>
        </w:trPr>
        <w:tc>
          <w:tcPr>
            <w:tcW w:type="dxa" w:w="624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编号</w:t>
            </w:r>
          </w:p>
        </w:tc>
        <w:tc>
          <w:tcPr>
            <w:tcW w:type="dxa" w:w="351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客户发现 / 期望</w:t>
            </w:r>
          </w:p>
        </w:tc>
        <w:tc>
          <w:tcPr>
            <w:tcW w:type="dxa" w:w="4025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需落实的改进要点</w:t>
            </w:r>
          </w:p>
        </w:tc>
        <w:tc>
          <w:tcPr>
            <w:tcW w:type="dxa" w:w="1417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优先级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10.1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客户将发出约 60 项清单（含优先级与分类），由 AI 工具汇总三位审计人员的记录，可能存在重叠或表述不清；客户要求我方有疑问立即提问（可要求照片/草图），并对照我方自己的记录，凡客户清单遗漏的项主动上报。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指定统一接口人：收到清单后逐项确认理解、集中提问、补报遗漏项，并输出带优先级、责任人和节点的行动计划回复客户。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10.2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客户建议增加专题会：清洁策略专题会（固定频次）、验证（VOA）就绪专题会，与 JPT 工艺技术会分开，避免被工艺讨论挤占。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确定两个专题会的频次、参会人与议题模板，纳入项目沟通机制。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10.3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客户要求重大改造在投入人力物力之前先送审方案（如排放阀处理方式、分馏管线设计、水系统总管改造），避免返工。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建立“方案先送审”流程：出草图/设计说明 → 客户评审确认 → 实施，并记录评审意见。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  <w:tr>
        <w:trPr>
          <w:cantSplit/>
        </w:trPr>
        <w:tc>
          <w:tcPr>
            <w:tcW w:type="dxa" w:w="624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10.4</w:t>
            </w:r>
          </w:p>
        </w:tc>
        <w:tc>
          <w:tcPr>
            <w:tcW w:type="dxa" w:w="351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客户认可通过详细视频发现问题（其部分发现即来自我方提供的视频），建议增加逐个接口的细节视频、现场直播走查，并改善会议室摄像条件、对设备做清晰标识。</w:t>
            </w:r>
          </w:p>
        </w:tc>
        <w:tc>
          <w:tcPr>
            <w:tcW w:type="dxa" w:w="4025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制定远程走查方案（细节视频拍摄清单、直播走查安排、设备标识），供客户远程复核。</w:t>
            </w:r>
          </w:p>
        </w:tc>
        <w:tc>
          <w:tcPr>
            <w:tcW w:type="dxa" w:w="141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中</w:t>
            </w:r>
          </w:p>
        </w:tc>
      </w:tr>
      <w:tr>
        <w:trPr>
          <w:cantSplit/>
        </w:trPr>
        <w:tc>
          <w:tcPr>
            <w:tcW w:type="dxa" w:w="624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10.5</w:t>
            </w:r>
          </w:p>
        </w:tc>
        <w:tc>
          <w:tcPr>
            <w:tcW w:type="dxa" w:w="351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客户提出在恢复/启动前可能再安排一次现场访问，并强调时间安排是关键关注点。</w:t>
            </w:r>
          </w:p>
        </w:tc>
        <w:tc>
          <w:tcPr>
            <w:tcW w:type="dxa" w:w="4025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尽快给出整改总时间表（含长交期备件与验证窗口），作为与客户对齐再次现场访问时间的依据。</w:t>
            </w:r>
          </w:p>
        </w:tc>
        <w:tc>
          <w:tcPr>
            <w:tcW w:type="dxa" w:w="141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高</w:t>
            </w:r>
          </w:p>
          <w:p>
            <w:pPr>
              <w:spacing w:before="0" w:after="40" w:line="288" w:lineRule="auto"/>
              <w:jc w:val="center"/>
            </w:pPr>
            <w:r>
              <w:rPr>
                <w:rFonts w:ascii="Arial" w:hAnsi="Arial" w:eastAsia="微软雅黑"/>
                <w:b/>
                <w:i w:val="0"/>
                <w:color w:val="C00000"/>
                <w:sz w:val="19"/>
              </w:rPr>
              <w:t>（客户明示）</w:t>
            </w:r>
          </w:p>
        </w:tc>
      </w:tr>
    </w:tbl>
    <w:p>
      <w:pPr>
        <w:keepNext/>
        <w:pBdr>
          <w:bottom w:val="single" w:sz="8" w:space="2" w:color="1F4E79"/>
        </w:pBdr>
        <w:spacing w:before="260" w:after="120"/>
      </w:pPr>
      <w:r>
        <w:rPr>
          <w:rFonts w:ascii="Arial" w:hAnsi="Arial" w:eastAsia="微软雅黑"/>
          <w:b/>
          <w:i w:val="0"/>
          <w:color w:val="002060"/>
          <w:sz w:val="26"/>
        </w:rPr>
        <w:t>三、需高层决策或资源支持的事项</w:t>
      </w:r>
      <w:r>
        <w:rPr>
          <w:rFonts w:ascii="Arial" w:hAnsi="Arial" w:eastAsia="微软雅黑"/>
          <w:b w:val="0"/>
          <w:i w:val="0"/>
          <w:color w:val="1F4E79"/>
          <w:sz w:val="19"/>
        </w:rPr>
        <w:t xml:space="preserve">  Decisions &amp; Resources Required</w:t>
      </w:r>
    </w:p>
    <w:tbl>
      <w:tblPr>
        <w:tblStyle w:val="TableGrid"/>
        <w:jc w:val="center"/>
        <w:tblLook w:firstColumn="1" w:firstRow="1" w:lastColumn="0" w:lastRow="0" w:noHBand="0" w:noVBand="1" w:val="04A0"/>
        <w:tblW w:w="9582" w:type="dxa"/>
        <w:tblLayout w:type="fixed"/>
      </w:tblPr>
      <w:tblGrid>
        <w:gridCol w:w="737"/>
        <w:gridCol w:w="2268"/>
        <w:gridCol w:w="6576"/>
      </w:tblGrid>
      <w:tr>
        <w:trPr>
          <w:cantSplit/>
          <w:tblHeader/>
        </w:trPr>
        <w:tc>
          <w:tcPr>
            <w:tcW w:type="dxa" w:w="737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序号</w:t>
            </w:r>
          </w:p>
        </w:tc>
        <w:tc>
          <w:tcPr>
            <w:tcW w:type="dxa" w:w="2268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事项</w:t>
            </w:r>
          </w:p>
        </w:tc>
        <w:tc>
          <w:tcPr>
            <w:tcW w:type="dxa" w:w="6576"/>
            <w:shd w:val="clear" w:color="auto" w:fill="1F4E79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/>
                <w:i w:val="0"/>
                <w:color w:val="FFFFFF"/>
                <w:sz w:val="19"/>
              </w:rPr>
              <w:t>需要决策 / 支持的内容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1</w:t>
            </w:r>
          </w:p>
        </w:tc>
        <w:tc>
          <w:tcPr>
            <w:tcW w:type="dxa" w:w="226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专项走查人力与组织</w:t>
            </w:r>
          </w:p>
        </w:tc>
        <w:tc>
          <w:tcPr>
            <w:tcW w:type="dxa" w:w="6576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对全部 Cat 3/4 管线逐条走查并建立单点台账（客户要求 100% 可追溯）是本次最大工作量项，需明确责任人、投入人数与完成节点。</w:t>
            </w:r>
          </w:p>
        </w:tc>
      </w:tr>
      <w:tr>
        <w:trPr>
          <w:cantSplit/>
        </w:trPr>
        <w:tc>
          <w:tcPr>
            <w:tcW w:type="dxa" w:w="73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2</w:t>
            </w:r>
          </w:p>
        </w:tc>
        <w:tc>
          <w:tcPr>
            <w:tcW w:type="dxa" w:w="2268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长交期备件采购</w:t>
            </w:r>
          </w:p>
        </w:tc>
        <w:tc>
          <w:tcPr>
            <w:tcW w:type="dxa" w:w="6576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零死角阀、卫生级阀门、雷达液位计、平膜差压变送器、焊接式温度套管、卫生级离心泵等需提前询价下单，交期直接决定整改时间表。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3</w:t>
            </w:r>
          </w:p>
        </w:tc>
        <w:tc>
          <w:tcPr>
            <w:tcW w:type="dxa" w:w="226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纯化水系统改造与验证</w:t>
            </w:r>
          </w:p>
        </w:tc>
        <w:tc>
          <w:tcPr>
            <w:tcW w:type="dxa" w:w="6576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总管隔离阀 + 各用户点排放阀改造方案，以及验证路径选择（完整验证 / 简化验证 / 同步验证），涉及停机窗口与检测资源。</w:t>
            </w:r>
          </w:p>
        </w:tc>
      </w:tr>
      <w:tr>
        <w:trPr>
          <w:cantSplit/>
        </w:trPr>
        <w:tc>
          <w:tcPr>
            <w:tcW w:type="dxa" w:w="73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4</w:t>
            </w:r>
          </w:p>
        </w:tc>
        <w:tc>
          <w:tcPr>
            <w:tcW w:type="dxa" w:w="2268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厂房物料通道与密闭投料</w:t>
            </w:r>
          </w:p>
        </w:tc>
        <w:tc>
          <w:tcPr>
            <w:tcW w:type="dxa" w:w="6576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室外直入 CNC 区的通道：短期缓解 vs 长期气锁改造；密闭投料方案的投资与实施节点，需与新厂房设计统一。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5</w:t>
            </w:r>
          </w:p>
        </w:tc>
        <w:tc>
          <w:tcPr>
            <w:tcW w:type="dxa" w:w="226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清洁程序升级投入</w:t>
            </w:r>
          </w:p>
        </w:tc>
        <w:tc>
          <w:tcPr>
            <w:tcW w:type="dxa" w:w="6576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CIP 由压力控制改为流量控制的仪表/软件改造与再验证；软质部件回收率补充研究。</w:t>
            </w:r>
          </w:p>
        </w:tc>
      </w:tr>
      <w:tr>
        <w:trPr>
          <w:cantSplit/>
        </w:trPr>
        <w:tc>
          <w:tcPr>
            <w:tcW w:type="dxa" w:w="73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6</w:t>
            </w:r>
          </w:p>
        </w:tc>
        <w:tc>
          <w:tcPr>
            <w:tcW w:type="dxa" w:w="2268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内部程序修订授权</w:t>
            </w:r>
          </w:p>
        </w:tc>
        <w:tc>
          <w:tcPr>
            <w:tcW w:type="dxa" w:w="6576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过滤器一次性使用等条款需先修订内部 SOP，才能按风险调整现场做法，避免与自身文件冲突。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7</w:t>
            </w:r>
          </w:p>
        </w:tc>
        <w:tc>
          <w:tcPr>
            <w:tcW w:type="dxa" w:w="226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时间表与项目节奏</w:t>
            </w:r>
          </w:p>
        </w:tc>
        <w:tc>
          <w:tcPr>
            <w:tcW w:type="dxa" w:w="6576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整改时间表需与罐区钝化（11 号楼 20 d / 12 号楼 42 d，42 d 仍在核实）及客户可能的再次现场审计对齐，形成对外统一口径。</w:t>
            </w:r>
          </w:p>
        </w:tc>
      </w:tr>
      <w:tr>
        <w:trPr>
          <w:cantSplit/>
        </w:trPr>
        <w:tc>
          <w:tcPr>
            <w:tcW w:type="dxa" w:w="737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8</w:t>
            </w:r>
          </w:p>
        </w:tc>
        <w:tc>
          <w:tcPr>
            <w:tcW w:type="dxa" w:w="2268"/>
            <w:shd w:val="clear" w:color="auto" w:fill="EAF1F8"/>
          </w:tcPr>
          <w:p>
            <w:pPr>
              <w:spacing w:before="40" w:after="40" w:line="288" w:lineRule="auto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对外沟通口径与时限</w:t>
            </w:r>
          </w:p>
        </w:tc>
        <w:tc>
          <w:tcPr>
            <w:tcW w:type="dxa" w:w="6576"/>
            <w:shd w:val="clear" w:color="auto" w:fill="EAF1F8"/>
          </w:tcPr>
          <w:p>
            <w:pPr>
              <w:spacing w:before="40" w:after="40" w:line="288" w:lineRule="auto"/>
              <w:jc w:val="center"/>
            </w:pPr>
            <w:r/>
            <w:r>
              <w:rPr>
                <w:rFonts w:ascii="Arial" w:hAnsi="Arial" w:eastAsia="微软雅黑"/>
                <w:b w:val="0"/>
                <w:i w:val="0"/>
                <w:color w:val="404040"/>
                <w:sz w:val="19"/>
              </w:rPr>
              <w:t>客户约 60 项清单的答复与行动计划由谁统一对外、答复时限如何承诺（客户希望尽快提问、尽快提交行动计划）。</w:t>
            </w:r>
          </w:p>
        </w:tc>
      </w:tr>
    </w:tbl>
    <w:p>
      <w:pPr>
        <w:keepNext/>
        <w:pBdr>
          <w:bottom w:val="single" w:sz="8" w:space="2" w:color="1F4E79"/>
        </w:pBdr>
        <w:spacing w:before="260" w:after="120"/>
      </w:pPr>
      <w:r>
        <w:rPr>
          <w:rFonts w:ascii="Arial" w:hAnsi="Arial" w:eastAsia="微软雅黑"/>
          <w:b/>
          <w:i w:val="0"/>
          <w:color w:val="002060"/>
          <w:sz w:val="26"/>
        </w:rPr>
        <w:t>四、下一步安排（建议）</w:t>
      </w:r>
      <w:r>
        <w:rPr>
          <w:rFonts w:ascii="Arial" w:hAnsi="Arial" w:eastAsia="微软雅黑"/>
          <w:b w:val="0"/>
          <w:i w:val="0"/>
          <w:color w:val="1F4E79"/>
          <w:sz w:val="19"/>
        </w:rPr>
        <w:t xml:space="preserve">  Proposed Next Steps</w:t>
      </w:r>
    </w:p>
    <w:p>
      <w:pPr>
        <w:spacing w:before="0" w:after="70" w:line="312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● </w:t>
      </w:r>
      <w:r>
        <w:rPr>
          <w:rFonts w:ascii="Arial" w:hAnsi="Arial" w:eastAsia="微软雅黑"/>
          <w:b w:val="0"/>
          <w:i w:val="0"/>
          <w:color w:val="404040"/>
          <w:sz w:val="21"/>
        </w:rPr>
        <w:t>指定清单接口人，客户清单到达后即启动逐项理解确认，集中一次性提出所有疑问（含请客户提供照片/草图）。</w:t>
      </w:r>
    </w:p>
    <w:p>
      <w:pPr>
        <w:spacing w:before="0" w:after="70" w:line="312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● </w:t>
      </w:r>
      <w:r>
        <w:rPr>
          <w:rFonts w:ascii="Arial" w:hAnsi="Arial" w:eastAsia="微软雅黑"/>
          <w:b w:val="0"/>
          <w:i w:val="0"/>
          <w:color w:val="404040"/>
          <w:sz w:val="21"/>
        </w:rPr>
        <w:t>同步比对我方现场记录，补报客户清单中遗漏的问题项，向客户体现自查能力。</w:t>
      </w:r>
    </w:p>
    <w:p>
      <w:pPr>
        <w:spacing w:before="0" w:after="70" w:line="312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● </w:t>
      </w:r>
      <w:r>
        <w:rPr>
          <w:rFonts w:ascii="Arial" w:hAnsi="Arial" w:eastAsia="微软雅黑"/>
          <w:b w:val="0"/>
          <w:i w:val="0"/>
          <w:color w:val="404040"/>
          <w:sz w:val="21"/>
        </w:rPr>
        <w:t>启动 Cat 3/4 管线逐线走查，边走查边建台账，识别可立即整改项与长交期项，先给出长交期清单以便安排采购。</w:t>
      </w:r>
    </w:p>
    <w:p>
      <w:pPr>
        <w:spacing w:before="0" w:after="70" w:line="312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● </w:t>
      </w:r>
      <w:r>
        <w:rPr>
          <w:rFonts w:ascii="Arial" w:hAnsi="Arial" w:eastAsia="微软雅黑"/>
          <w:b w:val="0"/>
          <w:i w:val="0"/>
          <w:color w:val="404040"/>
          <w:sz w:val="21"/>
        </w:rPr>
        <w:t>先行输出三份策略文件供客户预审：清洁策略、非全新设备换型策略、新设备投用前清洁确认策略。</w:t>
      </w:r>
    </w:p>
    <w:p>
      <w:pPr>
        <w:spacing w:before="0" w:after="70" w:line="312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● </w:t>
      </w:r>
      <w:r>
        <w:rPr>
          <w:rFonts w:ascii="Arial" w:hAnsi="Arial" w:eastAsia="微软雅黑"/>
          <w:b w:val="0"/>
          <w:i w:val="0"/>
          <w:color w:val="404040"/>
          <w:sz w:val="21"/>
        </w:rPr>
        <w:t>水系统改造方案（隔离阀 + 使用点排放阀 + 取样点）与验证路径同步出草案，连同分馏管线、排放阀处理草图一并送审。</w:t>
      </w:r>
    </w:p>
    <w:p>
      <w:pPr>
        <w:spacing w:before="0" w:after="70" w:line="312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● </w:t>
      </w:r>
      <w:r>
        <w:rPr>
          <w:rFonts w:ascii="Arial" w:hAnsi="Arial" w:eastAsia="微软雅黑"/>
          <w:b w:val="0"/>
          <w:i w:val="0"/>
          <w:color w:val="404040"/>
          <w:sz w:val="21"/>
        </w:rPr>
        <w:t>确定清洁专题会与验证就绪专题会的频次与议题，纳入项目例会体系。</w:t>
      </w:r>
    </w:p>
    <w:p>
      <w:pPr>
        <w:spacing w:before="0" w:after="70" w:line="312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1"/>
        </w:rPr>
        <w:t xml:space="preserve">● </w:t>
      </w:r>
      <w:r>
        <w:rPr>
          <w:rFonts w:ascii="Arial" w:hAnsi="Arial" w:eastAsia="微软雅黑"/>
          <w:b w:val="0"/>
          <w:i w:val="0"/>
          <w:color w:val="404040"/>
          <w:sz w:val="21"/>
        </w:rPr>
        <w:t>汇总整改总时间表（含备件交期与验证窗口），与钝化窗口合并成一张对外时间表，作为与客户对齐再次现场访问的依据。</w:t>
      </w:r>
    </w:p>
    <w:p>
      <w:pPr>
        <w:keepNext/>
        <w:pBdr>
          <w:bottom w:val="single" w:sz="8" w:space="2" w:color="1F4E79"/>
        </w:pBdr>
        <w:spacing w:before="260" w:after="120"/>
      </w:pPr>
      <w:r>
        <w:rPr>
          <w:rFonts w:ascii="Arial" w:hAnsi="Arial" w:eastAsia="微软雅黑"/>
          <w:b/>
          <w:i w:val="0"/>
          <w:color w:val="002060"/>
          <w:sz w:val="26"/>
        </w:rPr>
        <w:t>五、待核实事项</w:t>
      </w:r>
      <w:r>
        <w:rPr>
          <w:rFonts w:ascii="Arial" w:hAnsi="Arial" w:eastAsia="微软雅黑"/>
          <w:b w:val="0"/>
          <w:i w:val="0"/>
          <w:color w:val="1F4E79"/>
          <w:sz w:val="19"/>
        </w:rPr>
        <w:t xml:space="preserve">  Items to Be Confirmed</w:t>
      </w:r>
    </w:p>
    <w:p>
      <w:pPr>
        <w:spacing w:before="0" w:after="100" w:line="324" w:lineRule="auto"/>
      </w:pPr>
      <w:r>
        <w:rPr>
          <w:rFonts w:ascii="Arial" w:hAnsi="Arial" w:eastAsia="微软雅黑"/>
          <w:b w:val="0"/>
          <w:i w:val="0"/>
          <w:color w:val="1F4E79"/>
          <w:sz w:val="20"/>
        </w:rPr>
        <w:t>以下内容在录音中表述不清或涉及数字，需与客户或按我方文件核实后再对外引用：</w:t>
      </w:r>
    </w:p>
    <w:p>
      <w:pPr>
        <w:spacing w:before="0" w:after="50" w:line="300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0"/>
        </w:rPr>
        <w:t xml:space="preserve">○ </w:t>
      </w:r>
      <w:r>
        <w:rPr>
          <w:rFonts w:ascii="Arial" w:hAnsi="Arial" w:eastAsia="微软雅黑"/>
          <w:b w:val="0"/>
          <w:i w:val="0"/>
          <w:color w:val="404040"/>
          <w:sz w:val="20"/>
        </w:rPr>
        <w:t>Cat 4 范围判定中提到的有机相比例界限（录音中为“约 2%”）及其在客户策略文件中的具体条款。</w:t>
      </w:r>
    </w:p>
    <w:p>
      <w:pPr>
        <w:spacing w:before="0" w:after="50" w:line="300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0"/>
        </w:rPr>
        <w:t xml:space="preserve">○ </w:t>
      </w:r>
      <w:r>
        <w:rPr>
          <w:rFonts w:ascii="Arial" w:hAnsi="Arial" w:eastAsia="微软雅黑"/>
          <w:b w:val="0"/>
          <w:i w:val="0"/>
          <w:color w:val="404040"/>
          <w:sz w:val="20"/>
        </w:rPr>
        <w:t>使用点水过滤器的最长在线时间（录音中为“不超过约 24 小时”）。</w:t>
      </w:r>
    </w:p>
    <w:p>
      <w:pPr>
        <w:spacing w:before="0" w:after="50" w:line="300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0"/>
        </w:rPr>
        <w:t xml:space="preserve">○ </w:t>
      </w:r>
      <w:r>
        <w:rPr>
          <w:rFonts w:ascii="Arial" w:hAnsi="Arial" w:eastAsia="微软雅黑"/>
          <w:b w:val="0"/>
          <w:i w:val="0"/>
          <w:color w:val="404040"/>
          <w:sz w:val="20"/>
        </w:rPr>
        <w:t>客户提供的水系统指南文件名称与版本（录音转写为 “highest PE guidance”，疑为 ISPE 相关指南）。</w:t>
      </w:r>
    </w:p>
    <w:p>
      <w:pPr>
        <w:spacing w:before="0" w:after="50" w:line="300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0"/>
        </w:rPr>
        <w:t xml:space="preserve">○ </w:t>
      </w:r>
      <w:r>
        <w:rPr>
          <w:rFonts w:ascii="Arial" w:hAnsi="Arial" w:eastAsia="微软雅黑"/>
          <w:b w:val="0"/>
          <w:i w:val="0"/>
          <w:color w:val="404040"/>
          <w:sz w:val="20"/>
        </w:rPr>
        <w:t>软管端口防护材料的品名（录音转写为 “Bio Shield”）。</w:t>
      </w:r>
    </w:p>
    <w:p>
      <w:pPr>
        <w:spacing w:before="0" w:after="50" w:line="300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0"/>
        </w:rPr>
        <w:t xml:space="preserve">○ </w:t>
      </w:r>
      <w:r>
        <w:rPr>
          <w:rFonts w:ascii="Arial" w:hAnsi="Arial" w:eastAsia="微软雅黑"/>
          <w:b w:val="0"/>
          <w:i w:val="0"/>
          <w:color w:val="404040"/>
          <w:sz w:val="20"/>
        </w:rPr>
        <w:t>使用临时容器储存/转运水的具体水种与容器清单。</w:t>
      </w:r>
    </w:p>
    <w:p>
      <w:pPr>
        <w:spacing w:before="0" w:after="50" w:line="300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0"/>
        </w:rPr>
        <w:t xml:space="preserve">○ </w:t>
      </w:r>
      <w:r>
        <w:rPr>
          <w:rFonts w:ascii="Arial" w:hAnsi="Arial" w:eastAsia="微软雅黑"/>
          <w:b w:val="0"/>
          <w:i w:val="0"/>
          <w:color w:val="404040"/>
          <w:sz w:val="20"/>
        </w:rPr>
        <w:t>调查项（约 7 项）的具体条目、责任人与当前状态。</w:t>
      </w:r>
    </w:p>
    <w:p>
      <w:pPr>
        <w:spacing w:before="0" w:after="50" w:line="300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0"/>
        </w:rPr>
        <w:t xml:space="preserve">○ </w:t>
      </w:r>
      <w:r>
        <w:rPr>
          <w:rFonts w:ascii="Arial" w:hAnsi="Arial" w:eastAsia="微软雅黑"/>
          <w:b w:val="0"/>
          <w:i w:val="0"/>
          <w:color w:val="404040"/>
          <w:sz w:val="20"/>
        </w:rPr>
        <w:t>钝化材料中 11 号楼受影响项目编号口径不一致（管路图为 125104，汇总表为 150168），需统一。</w:t>
      </w:r>
    </w:p>
    <w:p>
      <w:pPr>
        <w:spacing w:before="0" w:after="50" w:line="300" w:lineRule="auto"/>
        <w:ind w:left="312" w:hanging="312"/>
      </w:pPr>
      <w:r>
        <w:rPr>
          <w:rFonts w:ascii="Arial" w:hAnsi="Arial" w:eastAsia="微软雅黑"/>
          <w:b/>
          <w:i w:val="0"/>
          <w:color w:val="1F4E79"/>
          <w:sz w:val="20"/>
        </w:rPr>
        <w:t xml:space="preserve">○ </w:t>
      </w:r>
      <w:r>
        <w:rPr>
          <w:rFonts w:ascii="Arial" w:hAnsi="Arial" w:eastAsia="微软雅黑"/>
          <w:b w:val="0"/>
          <w:i w:val="0"/>
          <w:color w:val="404040"/>
          <w:sz w:val="20"/>
        </w:rPr>
        <w:t>本总结基于会议录音整理；客户正式清单收到后需逐项对齐编号并更新本文件。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微软雅黑"/>
        <w:b w:val="0"/>
        <w:i w:val="0"/>
        <w:color w:val="1F4E79"/>
        <w:sz w:val="17"/>
      </w:rPr>
      <w:t>内部汇报材料 · 保密   |   客户现场审计跟进会改进要点总结   |   2026-09-18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