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F4334">
      <w:pPr>
        <w:spacing w:before="0" w:after="40" w:line="288" w:lineRule="auto"/>
        <w:jc w:val="center"/>
      </w:pPr>
      <w:r>
        <w:rPr>
          <w:rFonts w:ascii="Arial" w:hAnsi="Arial" w:eastAsia="微软雅黑"/>
          <w:b/>
          <w:i w:val="0"/>
          <w:color w:val="002060"/>
          <w:sz w:val="34"/>
        </w:rPr>
        <w:t>客户现场审计跟进会 —— 改进要点总结</w:t>
      </w:r>
    </w:p>
    <w:p w14:paraId="10CB639A">
      <w:pPr>
        <w:keepNext/>
        <w:pBdr>
          <w:bottom w:val="single" w:color="1F4E79" w:sz="8" w:space="2"/>
        </w:pBdr>
        <w:spacing w:before="260" w:after="120"/>
      </w:pPr>
      <w:r>
        <w:rPr>
          <w:rFonts w:ascii="Arial" w:hAnsi="Arial" w:eastAsia="微软雅黑"/>
          <w:b/>
          <w:i w:val="0"/>
          <w:color w:val="002060"/>
          <w:sz w:val="26"/>
        </w:rPr>
        <w:t>一、总体判断</w:t>
      </w:r>
      <w:r>
        <w:rPr>
          <w:rFonts w:ascii="Arial" w:hAnsi="Arial" w:eastAsia="微软雅黑"/>
          <w:b w:val="0"/>
          <w:i w:val="0"/>
          <w:color w:val="1F4E79"/>
          <w:sz w:val="19"/>
        </w:rPr>
        <w:t xml:space="preserve">  Executive Summary</w:t>
      </w:r>
    </w:p>
    <w:p w14:paraId="1176C44C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客户认可近几日的沟通与进展，但明确表示</w:t>
      </w:r>
      <w:r>
        <w:rPr>
          <w:rFonts w:ascii="Arial" w:hAnsi="Arial" w:eastAsia="微软雅黑"/>
          <w:b/>
          <w:i w:val="0"/>
          <w:color w:val="002060"/>
          <w:sz w:val="21"/>
        </w:rPr>
        <w:t>“仍有改进空间”</w:t>
      </w:r>
      <w:r>
        <w:rPr>
          <w:rFonts w:ascii="Arial" w:hAnsi="Arial" w:eastAsia="微软雅黑"/>
          <w:b w:val="0"/>
          <w:i w:val="0"/>
          <w:color w:val="404040"/>
          <w:sz w:val="21"/>
        </w:rPr>
        <w:t>。三位审计人员的现场记录已汇总为约 60 项清单（含优先级与分类），会后正式发我方；客户提示清单由 AI 工具汇总，个别条目可能重叠或表述不清。</w:t>
      </w:r>
    </w:p>
    <w:p w14:paraId="31C78152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客户明示最担心的两个方面：</w:t>
      </w:r>
      <w:r>
        <w:rPr>
          <w:rFonts w:ascii="Arial" w:hAnsi="Arial" w:eastAsia="微软雅黑"/>
          <w:b/>
          <w:i w:val="0"/>
          <w:color w:val="002060"/>
          <w:sz w:val="21"/>
        </w:rPr>
        <w:t>① Category 3/4 设备的卫生级设计缺口</w:t>
      </w:r>
      <w:r>
        <w:rPr>
          <w:rFonts w:ascii="Arial" w:hAnsi="Arial" w:eastAsia="微软雅黑"/>
          <w:b w:val="0"/>
          <w:i w:val="0"/>
          <w:color w:val="404040"/>
          <w:sz w:val="21"/>
        </w:rPr>
        <w:t>（死角、球阀、法兰、不可排空结构、隔膜泵）；</w:t>
      </w:r>
      <w:r>
        <w:rPr>
          <w:rFonts w:ascii="Arial" w:hAnsi="Arial" w:eastAsia="微软雅黑"/>
          <w:b/>
          <w:i w:val="0"/>
          <w:color w:val="002060"/>
          <w:sz w:val="21"/>
        </w:rPr>
        <w:t>② 纯化水系统</w:t>
      </w:r>
      <w:r>
        <w:rPr>
          <w:rFonts w:ascii="Arial" w:hAnsi="Arial" w:eastAsia="微软雅黑"/>
          <w:b w:val="0"/>
          <w:i w:val="0"/>
          <w:color w:val="404040"/>
          <w:sz w:val="21"/>
        </w:rPr>
        <w:t>（总管盲段、无使用点取样与排放）。这两项也是工作量最大的两块。</w:t>
      </w:r>
    </w:p>
    <w:p w14:paraId="726C2A0F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策略层面关注度最高的是</w:t>
      </w:r>
      <w:r>
        <w:rPr>
          <w:rFonts w:ascii="Arial" w:hAnsi="Arial" w:eastAsia="微软雅黑"/>
          <w:b/>
          <w:i w:val="0"/>
          <w:color w:val="002060"/>
          <w:sz w:val="21"/>
        </w:rPr>
        <w:t>清洁（清洁程序如何制定、执行、记录）</w:t>
      </w:r>
      <w:r>
        <w:rPr>
          <w:rFonts w:ascii="Arial" w:hAnsi="Arial" w:eastAsia="微软雅黑"/>
          <w:b w:val="0"/>
          <w:i w:val="0"/>
          <w:color w:val="404040"/>
          <w:sz w:val="21"/>
        </w:rPr>
        <w:t>，客户要求设立固定频次的清洁专题会，并把验证就绪（VOA）讨论从 JPT 工艺技术会中独立出来。</w:t>
      </w:r>
    </w:p>
    <w:p w14:paraId="238ADEEC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客户特别指出：来现场前依据我方提供的差距清单（Excel），预期现场缺口应更少，实际走查发现的问题偏多 —— 说明我方自查的判定标准与清单完整性需要重建。</w:t>
      </w:r>
    </w:p>
    <w:p w14:paraId="6337C28E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客户对工作方式提出明确要求：重大改造</w:t>
      </w:r>
      <w:r>
        <w:rPr>
          <w:rFonts w:ascii="Arial" w:hAnsi="Arial" w:eastAsia="微软雅黑"/>
          <w:b/>
          <w:i w:val="0"/>
          <w:color w:val="002060"/>
          <w:sz w:val="21"/>
        </w:rPr>
        <w:t>投入前先把方案/草图送客户预审</w:t>
      </w:r>
      <w:r>
        <w:rPr>
          <w:rFonts w:ascii="Arial" w:hAnsi="Arial" w:eastAsia="微软雅黑"/>
          <w:b w:val="0"/>
          <w:i w:val="0"/>
          <w:color w:val="404040"/>
          <w:sz w:val="21"/>
        </w:rPr>
        <w:t>；对清单有疑问立即提问；我方记录中若有客户清单遗漏的项要主动上报；增加逐接口的细节视频与远程直播走查；恢复生产前客户可能再安排一次现场访问。</w:t>
      </w:r>
    </w:p>
    <w:p w14:paraId="265CD9F7">
      <w:pPr>
        <w:spacing w:before="0" w:after="100" w:line="324" w:lineRule="auto"/>
        <w:ind w:left="312" w:hanging="312"/>
      </w:pPr>
      <w:r>
        <w:rPr>
          <w:rFonts w:ascii="Arial" w:hAnsi="Arial" w:eastAsia="微软雅黑"/>
          <w:b/>
          <w:i w:val="0"/>
          <w:color w:val="1F4E79"/>
          <w:sz w:val="21"/>
        </w:rPr>
        <w:t xml:space="preserve">■ </w:t>
      </w:r>
      <w:r>
        <w:rPr>
          <w:rFonts w:ascii="Arial" w:hAnsi="Arial" w:eastAsia="微软雅黑"/>
          <w:b w:val="0"/>
          <w:i w:val="0"/>
          <w:color w:val="404040"/>
          <w:sz w:val="21"/>
        </w:rPr>
        <w:t>下一步我方需要交付的是一份</w:t>
      </w:r>
      <w:r>
        <w:rPr>
          <w:rFonts w:ascii="Arial" w:hAnsi="Arial" w:eastAsia="微软雅黑"/>
          <w:b/>
          <w:i w:val="0"/>
          <w:color w:val="002060"/>
          <w:sz w:val="21"/>
        </w:rPr>
        <w:t>可 100% 追溯的整改台账 + 明确时间表</w:t>
      </w:r>
      <w:r>
        <w:rPr>
          <w:rFonts w:ascii="Arial" w:hAnsi="Arial" w:eastAsia="微软雅黑"/>
          <w:b w:val="0"/>
          <w:i w:val="0"/>
          <w:color w:val="404040"/>
          <w:sz w:val="21"/>
        </w:rPr>
        <w:t>，并与罐区钝化窗口统一对齐口径。</w:t>
      </w:r>
    </w:p>
    <w:p w14:paraId="39143A14">
      <w:pPr>
        <w:keepNext/>
        <w:pBdr>
          <w:bottom w:val="single" w:color="1F4E79" w:sz="8" w:space="2"/>
        </w:pBdr>
        <w:spacing w:before="260" w:after="120"/>
      </w:pPr>
      <w:r>
        <w:rPr>
          <w:rFonts w:ascii="Arial" w:hAnsi="Arial" w:eastAsia="微软雅黑"/>
          <w:b/>
          <w:i w:val="0"/>
          <w:color w:val="002060"/>
          <w:sz w:val="26"/>
        </w:rPr>
        <w:t>二、改进要点清单</w:t>
      </w:r>
      <w:r>
        <w:rPr>
          <w:rFonts w:ascii="Arial" w:hAnsi="Arial" w:eastAsia="微软雅黑"/>
          <w:b w:val="0"/>
          <w:i w:val="0"/>
          <w:color w:val="1F4E79"/>
          <w:sz w:val="19"/>
        </w:rPr>
        <w:t xml:space="preserve">  Improvement Actions by Topic</w:t>
      </w:r>
    </w:p>
    <w:p w14:paraId="1B7209D7">
      <w:pPr>
        <w:spacing w:before="0" w:after="120" w:line="324" w:lineRule="auto"/>
      </w:pPr>
      <w:r>
        <w:rPr>
          <w:rFonts w:ascii="Arial" w:hAnsi="Arial" w:eastAsia="微软雅黑"/>
          <w:b w:val="0"/>
          <w:i w:val="0"/>
          <w:color w:val="1F4E79"/>
          <w:sz w:val="18"/>
        </w:rPr>
        <w:t>优先级说明：“高（客户明示）”为客户在会上明确点为高风险/高紧急的事项；“高（建议）”为依据客户表述判断应按高优先级推进；其余为中。</w:t>
      </w:r>
    </w:p>
    <w:p w14:paraId="48E17751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1. 清洁与清洁验证（策略层面最高关注）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5047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43B9A80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71C63B27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50C8A11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11BECBD1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1E925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F1DE3B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1.1</w:t>
            </w:r>
          </w:p>
        </w:tc>
        <w:tc>
          <w:tcPr>
            <w:tcW w:w="3515" w:type="dxa"/>
          </w:tcPr>
          <w:p w14:paraId="66EEC01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客户对我方清洁策略的整体思路，以及清洁程序如何制定、执行、记录，理解仍不清晰，认为这是当前最高关注领域。</w:t>
            </w:r>
          </w:p>
        </w:tc>
        <w:tc>
          <w:tcPr>
            <w:tcW w:w="4025" w:type="dxa"/>
          </w:tcPr>
          <w:p w14:paraId="36D5F21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编制完整的清洁策略文件（制定依据、执行方式、记录方式、与验证的衔接），先提交客户预审；同时建立固定频次的清洁专题沟通会，与工艺技术例会分开。</w:t>
            </w:r>
          </w:p>
        </w:tc>
        <w:tc>
          <w:tcPr>
            <w:tcW w:w="1417" w:type="dxa"/>
          </w:tcPr>
          <w:p w14:paraId="3E43DF9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634B0111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47399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17698F5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1.2</w:t>
            </w:r>
          </w:p>
        </w:tc>
        <w:tc>
          <w:tcPr>
            <w:tcW w:w="3515" w:type="dxa"/>
            <w:shd w:val="clear" w:color="auto" w:fill="EAF1F8"/>
          </w:tcPr>
          <w:p w14:paraId="633B2BFD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清洁验证的擦拭/淋洗回收率（swab / rinse recovery）通常在不锈钢表面建立，未覆盖隔膜等大面积软质部件。</w:t>
            </w:r>
          </w:p>
        </w:tc>
        <w:tc>
          <w:tcPr>
            <w:tcW w:w="4025" w:type="dxa"/>
            <w:shd w:val="clear" w:color="auto" w:fill="EAF1F8"/>
          </w:tcPr>
          <w:p w14:paraId="681564D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在清洁验证方案中补充软质部件的取样点与回收率研究，确认各类软质材料的取样代表性。</w:t>
            </w:r>
          </w:p>
        </w:tc>
        <w:tc>
          <w:tcPr>
            <w:tcW w:w="1417" w:type="dxa"/>
            <w:shd w:val="clear" w:color="auto" w:fill="EAF1F8"/>
          </w:tcPr>
          <w:p w14:paraId="2D46AE0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0F21768D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（建议）</w:t>
            </w:r>
          </w:p>
        </w:tc>
      </w:tr>
      <w:tr w14:paraId="43B06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4A4EF0F7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1.3</w:t>
            </w:r>
          </w:p>
        </w:tc>
        <w:tc>
          <w:tcPr>
            <w:tcW w:w="3515" w:type="dxa"/>
          </w:tcPr>
          <w:p w14:paraId="1C22B1D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客户已由压力控制改为流量控制 CIP：颗粒物部分堵塞喷淋球时，供水压力不变但实际流量下降，压力控制无法识别。</w:t>
            </w:r>
          </w:p>
        </w:tc>
        <w:tc>
          <w:tcPr>
            <w:tcW w:w="4025" w:type="dxa"/>
          </w:tcPr>
          <w:p w14:paraId="50712F05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评估 CIP 关键参数改为流量控制（或压力+流量双监控），并设置低于验证条件的报警，使操作人员可即时发现异常。</w:t>
            </w:r>
          </w:p>
        </w:tc>
        <w:tc>
          <w:tcPr>
            <w:tcW w:w="1417" w:type="dxa"/>
          </w:tcPr>
          <w:p w14:paraId="596DA318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2F64DAF9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（建议）</w:t>
            </w:r>
          </w:p>
        </w:tc>
      </w:tr>
      <w:tr w14:paraId="20D3F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57C3A95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1.4</w:t>
            </w:r>
          </w:p>
        </w:tc>
        <w:tc>
          <w:tcPr>
            <w:tcW w:w="3515" w:type="dxa"/>
            <w:shd w:val="clear" w:color="auto" w:fill="EAF1F8"/>
          </w:tcPr>
          <w:p w14:paraId="22DD7A2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客户希望用数据说明清洁限度的裕度（例如以 10 倍挑战量验证通过，则实际溶剂用量更大时仍有裕度）。</w:t>
            </w:r>
          </w:p>
        </w:tc>
        <w:tc>
          <w:tcPr>
            <w:tcW w:w="4025" w:type="dxa"/>
            <w:shd w:val="clear" w:color="auto" w:fill="EAF1F8"/>
          </w:tcPr>
          <w:p w14:paraId="5F0D621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整理清洁限度计算假设与实际溶剂用量的对比，量化安全裕度，作为后续讨论材料。</w:t>
            </w:r>
          </w:p>
        </w:tc>
        <w:tc>
          <w:tcPr>
            <w:tcW w:w="1417" w:type="dxa"/>
            <w:shd w:val="clear" w:color="auto" w:fill="EAF1F8"/>
          </w:tcPr>
          <w:p w14:paraId="380CAAD1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7F746235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2. Category 3/4 设备卫生级设计缺口（核心关注之一，工作量最大）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195EB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047B911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77A18D6E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4A26FFA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57A0D33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23D8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6183552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2.0</w:t>
            </w:r>
          </w:p>
        </w:tc>
        <w:tc>
          <w:tcPr>
            <w:tcW w:w="3515" w:type="dxa"/>
          </w:tcPr>
          <w:p w14:paraId="54E2F6FD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客户期望（Cat 4 范围：促生长溶液、水基/碱性溶液、水、产品或清洁接触）：不得有球阀、法兰、死角、难清洁结构，必须可排空。</w:t>
            </w:r>
          </w:p>
        </w:tc>
        <w:tc>
          <w:tcPr>
            <w:tcW w:w="4025" w:type="dxa"/>
          </w:tcPr>
          <w:p w14:paraId="5C783C3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以此标准重建设备差距清单的判定准则，并作为逐线走查的验收依据。</w:t>
            </w:r>
          </w:p>
        </w:tc>
        <w:tc>
          <w:tcPr>
            <w:tcW w:w="1417" w:type="dxa"/>
          </w:tcPr>
          <w:p w14:paraId="0664608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4A678AB0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42E1D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36B06E98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2.1</w:t>
            </w:r>
          </w:p>
        </w:tc>
        <w:tc>
          <w:tcPr>
            <w:tcW w:w="3515" w:type="dxa"/>
            <w:shd w:val="clear" w:color="auto" w:fill="EAF1F8"/>
          </w:tcPr>
          <w:p w14:paraId="5223296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纯化水罐 T01 顶部及其供水管线上仍存在球阀，其他位置也有类似情况。</w:t>
            </w:r>
          </w:p>
        </w:tc>
        <w:tc>
          <w:tcPr>
            <w:tcW w:w="4025" w:type="dxa"/>
            <w:shd w:val="clear" w:color="auto" w:fill="EAF1F8"/>
          </w:tcPr>
          <w:p w14:paraId="0E5AF0BD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全面排查球阀并更换为卫生级阀门；无法更换的进入例外台账（见 2.10）。</w:t>
            </w:r>
          </w:p>
        </w:tc>
        <w:tc>
          <w:tcPr>
            <w:tcW w:w="1417" w:type="dxa"/>
            <w:shd w:val="clear" w:color="auto" w:fill="EAF1F8"/>
          </w:tcPr>
          <w:p w14:paraId="050BA26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6CBF5959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5A2BF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1495F72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2.2</w:t>
            </w:r>
          </w:p>
        </w:tc>
        <w:tc>
          <w:tcPr>
            <w:tcW w:w="3515" w:type="dxa"/>
          </w:tcPr>
          <w:p w14:paraId="6AF7062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罐顶接管过长、喷淋球无法覆盖；更差的是长接管上再接仪表三通，形成完全无法覆盖的支管。</w:t>
            </w:r>
          </w:p>
        </w:tc>
        <w:tc>
          <w:tcPr>
            <w:tcW w:w="4025" w:type="dxa"/>
          </w:tcPr>
          <w:p w14:paraId="63E725A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按 ASME BPE 评估各接管长度/长径比，缩短或改造；确无法改造的提供可验证的替代清洁方式。</w:t>
            </w:r>
          </w:p>
        </w:tc>
        <w:tc>
          <w:tcPr>
            <w:tcW w:w="1417" w:type="dxa"/>
          </w:tcPr>
          <w:p w14:paraId="332A0621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0D32A704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2BCEC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183E1E4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2.3</w:t>
            </w:r>
          </w:p>
        </w:tc>
        <w:tc>
          <w:tcPr>
            <w:tcW w:w="3515" w:type="dxa"/>
            <w:shd w:val="clear" w:color="auto" w:fill="EAF1F8"/>
          </w:tcPr>
          <w:p w14:paraId="065E416A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插入管（dip tube）采用钩式支撑，接触处形成缝隙；顶部温度计使用长开口插入管，内壁无法清洁。</w:t>
            </w:r>
          </w:p>
        </w:tc>
        <w:tc>
          <w:tcPr>
            <w:tcW w:w="4025" w:type="dxa"/>
            <w:shd w:val="clear" w:color="auto" w:fill="EAF1F8"/>
          </w:tcPr>
          <w:p w14:paraId="4762751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改为无缝隙支撑方式；温度检测改为焊接在封头/罐底的套管（thermowell），RTD 不接触物料且表面平滑可清洁。</w:t>
            </w:r>
          </w:p>
        </w:tc>
        <w:tc>
          <w:tcPr>
            <w:tcW w:w="1417" w:type="dxa"/>
            <w:shd w:val="clear" w:color="auto" w:fill="EAF1F8"/>
          </w:tcPr>
          <w:p w14:paraId="007B90A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5109A50D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33448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B727CA1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2.4</w:t>
            </w:r>
          </w:p>
        </w:tc>
        <w:tc>
          <w:tcPr>
            <w:tcW w:w="3515" w:type="dxa"/>
          </w:tcPr>
          <w:p w14:paraId="2A2DDF58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液位差压变送器采用两个水平外接口加膜盒，罐体排空后水平段仍积液。</w:t>
            </w:r>
          </w:p>
        </w:tc>
        <w:tc>
          <w:tcPr>
            <w:tcW w:w="4025" w:type="dxa"/>
          </w:tcPr>
          <w:p w14:paraId="2DF6CA6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优先改为非接触式雷达液位；必须使用差压时，采用平膜（flush-mount）卫生型膜片直接焊接在罐底，与罐壁连续平滑。</w:t>
            </w:r>
          </w:p>
        </w:tc>
        <w:tc>
          <w:tcPr>
            <w:tcW w:w="1417" w:type="dxa"/>
          </w:tcPr>
          <w:p w14:paraId="0E7AB8C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1FF10BF6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406CF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3456E8D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2.5</w:t>
            </w:r>
          </w:p>
        </w:tc>
        <w:tc>
          <w:tcPr>
            <w:tcW w:w="3515" w:type="dxa"/>
            <w:shd w:val="clear" w:color="auto" w:fill="EAF1F8"/>
          </w:tcPr>
          <w:p w14:paraId="3ECA734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低点排放缺失或不可用：过滤器进出口两侧无低点（无法反向吹通滤芯）；已有低点阀口径过小，靠表面张力就排不净。</w:t>
            </w:r>
          </w:p>
        </w:tc>
        <w:tc>
          <w:tcPr>
            <w:tcW w:w="4025" w:type="dxa"/>
            <w:shd w:val="clear" w:color="auto" w:fill="EAF1F8"/>
          </w:tcPr>
          <w:p w14:paraId="02116DD0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系统评估低点排放的设置位置与口径，特别是过滤器前后；对口径不足的低点阀提出更换方案。</w:t>
            </w:r>
          </w:p>
        </w:tc>
        <w:tc>
          <w:tcPr>
            <w:tcW w:w="1417" w:type="dxa"/>
            <w:shd w:val="clear" w:color="auto" w:fill="EAF1F8"/>
          </w:tcPr>
          <w:p w14:paraId="10A4E4E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4F4F3CA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2AE36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015BB9C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2.6</w:t>
            </w:r>
          </w:p>
        </w:tc>
        <w:tc>
          <w:tcPr>
            <w:tcW w:w="3515" w:type="dxa"/>
          </w:tcPr>
          <w:p w14:paraId="68AEB5A6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多台流量计安装在不可排空方向（水平安装、腹部朝下）。</w:t>
            </w:r>
          </w:p>
        </w:tc>
        <w:tc>
          <w:tcPr>
            <w:tcW w:w="4025" w:type="dxa"/>
          </w:tcPr>
          <w:p w14:paraId="53F16861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优先改为竖直安装；无法竖直的至少旋转 90°，使其能顺管道坡度排空。</w:t>
            </w:r>
          </w:p>
        </w:tc>
        <w:tc>
          <w:tcPr>
            <w:tcW w:w="1417" w:type="dxa"/>
          </w:tcPr>
          <w:p w14:paraId="073CEFB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  <w:tr w14:paraId="00CD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5138FEE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2.7</w:t>
            </w:r>
          </w:p>
        </w:tc>
        <w:tc>
          <w:tcPr>
            <w:tcW w:w="3515" w:type="dxa"/>
            <w:shd w:val="clear" w:color="auto" w:fill="EAF1F8"/>
          </w:tcPr>
          <w:p w14:paraId="7140F43C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Cat 3/4 设备上仍有法兰连接，以及螺栓固定的搅拌桨（不止一台罐，多台存在）。</w:t>
            </w:r>
          </w:p>
        </w:tc>
        <w:tc>
          <w:tcPr>
            <w:tcW w:w="4025" w:type="dxa"/>
            <w:shd w:val="clear" w:color="auto" w:fill="EAF1F8"/>
          </w:tcPr>
          <w:p w14:paraId="41B6A936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对全部罐体逐台核查法兰与搅拌桨固定方式；受压力容器认证限制短期无法更换的，见 2.12。</w:t>
            </w:r>
          </w:p>
        </w:tc>
        <w:tc>
          <w:tcPr>
            <w:tcW w:w="1417" w:type="dxa"/>
            <w:shd w:val="clear" w:color="auto" w:fill="EAF1F8"/>
          </w:tcPr>
          <w:p w14:paraId="656B8734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656ECC16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5E8F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408FA08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2.8</w:t>
            </w:r>
          </w:p>
        </w:tc>
        <w:tc>
          <w:tcPr>
            <w:tcW w:w="3515" w:type="dxa"/>
          </w:tcPr>
          <w:p w14:paraId="332B400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死角普遍存在，未使用零死角阀/无支管三通。典型例：沉淀罐底部排放阀支管；分馏出口两路长三通 —— 先走废液的支管会留存废液，切换后可能把废液段推入主流。</w:t>
            </w:r>
          </w:p>
        </w:tc>
        <w:tc>
          <w:tcPr>
            <w:tcW w:w="4025" w:type="dxa"/>
          </w:tcPr>
          <w:p w14:paraId="6A5B889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逐点改造为零死角阀或最小 L/D 结构；改造方案（含分馏管线设计、排放阀处理方式）先出草图送客户预审再实施。</w:t>
            </w:r>
          </w:p>
        </w:tc>
        <w:tc>
          <w:tcPr>
            <w:tcW w:w="1417" w:type="dxa"/>
          </w:tcPr>
          <w:p w14:paraId="29B6DD4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8989871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722C9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52DBE1D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2.9</w:t>
            </w:r>
          </w:p>
        </w:tc>
        <w:tc>
          <w:tcPr>
            <w:tcW w:w="3515" w:type="dxa"/>
            <w:shd w:val="clear" w:color="auto" w:fill="EAF1F8"/>
          </w:tcPr>
          <w:p w14:paraId="20EE89D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隔膜泵（PD pump）用于产品/促生长溶液管线：内部止回结构导致无法完全排空，出口歧管垂直段必然残留。</w:t>
            </w:r>
          </w:p>
        </w:tc>
        <w:tc>
          <w:tcPr>
            <w:tcW w:w="4025" w:type="dxa"/>
            <w:shd w:val="clear" w:color="auto" w:fill="EAF1F8"/>
          </w:tcPr>
          <w:p w14:paraId="600C0D4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长期：取消泵送改压差/顶空压力输送，或改用卫生级离心泵（无止回、可全排空，配变频调速）。短期：确保每台泵进出口均设低点排放，并在操作与清洁文件中固化“排放 + 氮气吹扫（顶开止回阀、吹至低点）”步骤，形成残留最小化的证据链。</w:t>
            </w:r>
          </w:p>
        </w:tc>
        <w:tc>
          <w:tcPr>
            <w:tcW w:w="1417" w:type="dxa"/>
            <w:shd w:val="clear" w:color="auto" w:fill="EAF1F8"/>
          </w:tcPr>
          <w:p w14:paraId="05258CB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528D22CC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3E8F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641BA5E4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2.10</w:t>
            </w:r>
          </w:p>
        </w:tc>
        <w:tc>
          <w:tcPr>
            <w:tcW w:w="3515" w:type="dxa"/>
          </w:tcPr>
          <w:p w14:paraId="0833889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客户要求逐条逐线走查：凡促生长溶液、产品接触、清洁溶液管线上出现球阀、法兰、死角，一律整改；确因交期/资源无法整改的，必须 100% 可追溯。</w:t>
            </w:r>
          </w:p>
        </w:tc>
        <w:tc>
          <w:tcPr>
            <w:tcW w:w="4025" w:type="dxa"/>
          </w:tcPr>
          <w:p w14:paraId="28948771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组建专项小组按管线逐条走查，建立单点台账（位置、类别、判定、整改方式/例外理由）；例外项在清洁文件中固化补偿控制（如非零死角排放阀需人工切换冲洗、增加检查项）。</w:t>
            </w:r>
          </w:p>
        </w:tc>
        <w:tc>
          <w:tcPr>
            <w:tcW w:w="1417" w:type="dxa"/>
          </w:tcPr>
          <w:p w14:paraId="5E2C8D54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B2EFA65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72CF0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636AA8B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2.11</w:t>
            </w:r>
          </w:p>
        </w:tc>
        <w:tc>
          <w:tcPr>
            <w:tcW w:w="3515" w:type="dxa"/>
            <w:shd w:val="clear" w:color="auto" w:fill="EAF1F8"/>
          </w:tcPr>
          <w:p w14:paraId="2E094A36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范围判定：Cat 4 覆盖促生长、缓冲液/水基、产品与清洁接触；高有机相可适度放宽。客户强调我方是多产品/多客户共线，即使仅缓冲液系统，最佳实践也不应存在低点。</w:t>
            </w:r>
          </w:p>
        </w:tc>
        <w:tc>
          <w:tcPr>
            <w:tcW w:w="4025" w:type="dxa"/>
            <w:shd w:val="clear" w:color="auto" w:fill="EAF1F8"/>
          </w:tcPr>
          <w:p w14:paraId="5D72E40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明确设备使用范围并做清晰标识（“该设备仅用于…”），据此界定整改范围；分类有疑问直接邮件向客户确认（客户已提供 Cat 1–4 判定流程图）；对暂时放宽项制定长期更换计划。</w:t>
            </w:r>
          </w:p>
        </w:tc>
        <w:tc>
          <w:tcPr>
            <w:tcW w:w="1417" w:type="dxa"/>
            <w:shd w:val="clear" w:color="auto" w:fill="EAF1F8"/>
          </w:tcPr>
          <w:p w14:paraId="0707611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50912E63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108A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D8F03D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2.12</w:t>
            </w:r>
          </w:p>
        </w:tc>
        <w:tc>
          <w:tcPr>
            <w:tcW w:w="3515" w:type="dxa"/>
          </w:tcPr>
          <w:p w14:paraId="1241E2D8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部分法兰因压力容器认证等因素短期难以更换。</w:t>
            </w:r>
          </w:p>
        </w:tc>
        <w:tc>
          <w:tcPr>
            <w:tcW w:w="4025" w:type="dxa"/>
          </w:tcPr>
          <w:p w14:paraId="267810D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对保留项在清洁文件中写明专门的清洁指令与检查要求（含拆检、目视确认），并纳入例外台账。</w:t>
            </w:r>
          </w:p>
        </w:tc>
        <w:tc>
          <w:tcPr>
            <w:tcW w:w="1417" w:type="dxa"/>
          </w:tcPr>
          <w:p w14:paraId="22097832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3A06A052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3. 纯化水系统（核心关注之二）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3A4F0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5310FBF7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6E1E0B97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70C87A6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56B8B812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2AAD8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F980F7A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3.1</w:t>
            </w:r>
          </w:p>
        </w:tc>
        <w:tc>
          <w:tcPr>
            <w:tcW w:w="3515" w:type="dxa"/>
          </w:tcPr>
          <w:p w14:paraId="04137FB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长总管（header）在各用户点无隔离阀：向某个罐送水时，其余支管形成盲段积水且无法排出。</w:t>
            </w:r>
          </w:p>
        </w:tc>
        <w:tc>
          <w:tcPr>
            <w:tcW w:w="4025" w:type="dxa"/>
          </w:tcPr>
          <w:p w14:paraId="7AAB91E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改造总管，在每个用户点增设隔离阀，确保供水时只有直通路径，不再充填其他盲段。</w:t>
            </w:r>
          </w:p>
        </w:tc>
        <w:tc>
          <w:tcPr>
            <w:tcW w:w="1417" w:type="dxa"/>
          </w:tcPr>
          <w:p w14:paraId="0F3F62F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034567CE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128E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3DA4FB0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3.2</w:t>
            </w:r>
          </w:p>
        </w:tc>
        <w:tc>
          <w:tcPr>
            <w:tcW w:w="3515" w:type="dxa"/>
            <w:shd w:val="clear" w:color="auto" w:fill="EAF1F8"/>
          </w:tcPr>
          <w:p w14:paraId="38498A00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各用户点无排放阀，使用前无法冲洗排废，使用后管内残水长期滞留。</w:t>
            </w:r>
          </w:p>
        </w:tc>
        <w:tc>
          <w:tcPr>
            <w:tcW w:w="4025" w:type="dxa"/>
            <w:shd w:val="clear" w:color="auto" w:fill="EAF1F8"/>
          </w:tcPr>
          <w:p w14:paraId="14225CB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在每个用户点增设排放阀，实现使用前冲洗排废、使用后吹扫排空，并写入操作文件。</w:t>
            </w:r>
          </w:p>
        </w:tc>
        <w:tc>
          <w:tcPr>
            <w:tcW w:w="1417" w:type="dxa"/>
            <w:shd w:val="clear" w:color="auto" w:fill="EAF1F8"/>
          </w:tcPr>
          <w:p w14:paraId="20B7F1D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D58B42D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09CCF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2B6688D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3.3</w:t>
            </w:r>
          </w:p>
        </w:tc>
        <w:tc>
          <w:tcPr>
            <w:tcW w:w="3515" w:type="dxa"/>
          </w:tcPr>
          <w:p w14:paraId="6132A6C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取样点远离使用点，缺少使用点（point of use）水质数据，无法直接证明供某罐的水符合质量要求。</w:t>
            </w:r>
          </w:p>
        </w:tc>
        <w:tc>
          <w:tcPr>
            <w:tcW w:w="4025" w:type="dxa"/>
          </w:tcPr>
          <w:p w14:paraId="2FBF29FB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将新增的用户点排放阀设为纯化水验证取样点，使每个用户点都有可追溯的水质数据。</w:t>
            </w:r>
          </w:p>
        </w:tc>
        <w:tc>
          <w:tcPr>
            <w:tcW w:w="1417" w:type="dxa"/>
          </w:tcPr>
          <w:p w14:paraId="5B5114F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4489E0DB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6465E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1A43FB6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3.4</w:t>
            </w:r>
          </w:p>
        </w:tc>
        <w:tc>
          <w:tcPr>
            <w:tcW w:w="3515" w:type="dxa"/>
            <w:shd w:val="clear" w:color="auto" w:fill="EAF1F8"/>
          </w:tcPr>
          <w:p w14:paraId="0737C1FA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客户介绍其验证方式：三阶段验证（Phase 1/2 每日监测、Phase 3 每周/每月），逐点检测（TOC、电导、内毒素、微生物、硝酸盐等）；日常生产按周期取样，不需每次使用取样。改造后若无法立即完成完整验证，可采用简化验证（数天/数周数据）、抓取样品或同步验证并附论证。</w:t>
            </w:r>
          </w:p>
        </w:tc>
        <w:tc>
          <w:tcPr>
            <w:tcW w:w="4025" w:type="dxa"/>
            <w:shd w:val="clear" w:color="auto" w:fill="EAF1F8"/>
          </w:tcPr>
          <w:p w14:paraId="79C4E31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提出改造后的取样与验证方案（含完整验证 / 简化验证 / 同步验证的选择与论证）报客户预审，明确所需停机窗口与检测资源。</w:t>
            </w:r>
          </w:p>
        </w:tc>
        <w:tc>
          <w:tcPr>
            <w:tcW w:w="1417" w:type="dxa"/>
            <w:shd w:val="clear" w:color="auto" w:fill="EAF1F8"/>
          </w:tcPr>
          <w:p w14:paraId="35DFE974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295A3545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35FCB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3010F01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3.5</w:t>
            </w:r>
          </w:p>
        </w:tc>
        <w:tc>
          <w:tcPr>
            <w:tcW w:w="3515" w:type="dxa"/>
          </w:tcPr>
          <w:p w14:paraId="6FA467D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使用点水过滤器：促生长溶液管线（如 R05，软管长期存放在 CNC 区）应设使用点过滤器；非促生长管线不建议设置（过滤器本身带风险）。客户同时质疑过滤器可在线放置多久不更换。</w:t>
            </w:r>
          </w:p>
        </w:tc>
        <w:tc>
          <w:tcPr>
            <w:tcW w:w="4025" w:type="dxa"/>
          </w:tcPr>
          <w:p w14:paraId="03DEEF50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制定使用点水过滤器的设置原则（按介质是否促生长区分）与最长使用/更换周期规定，并在现场执行与记录。</w:t>
            </w:r>
          </w:p>
        </w:tc>
        <w:tc>
          <w:tcPr>
            <w:tcW w:w="1417" w:type="dxa"/>
          </w:tcPr>
          <w:p w14:paraId="60009E6A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65752BF6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49202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279C722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3.6</w:t>
            </w:r>
          </w:p>
        </w:tc>
        <w:tc>
          <w:tcPr>
            <w:tcW w:w="3515" w:type="dxa"/>
            <w:shd w:val="clear" w:color="auto" w:fill="EAF1F8"/>
          </w:tcPr>
          <w:p w14:paraId="713608C7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客户已提供水系统相关指南文件，其中列有具体期望案例，要求我方对照阅读。</w:t>
            </w:r>
          </w:p>
        </w:tc>
        <w:tc>
          <w:tcPr>
            <w:tcW w:w="4025" w:type="dxa"/>
            <w:shd w:val="clear" w:color="auto" w:fill="EAF1F8"/>
          </w:tcPr>
          <w:p w14:paraId="1787F215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获取并研读该指南，逐条比对我方水系统现状，纳入整改台账。</w:t>
            </w:r>
          </w:p>
        </w:tc>
        <w:tc>
          <w:tcPr>
            <w:tcW w:w="1417" w:type="dxa"/>
            <w:shd w:val="clear" w:color="auto" w:fill="EAF1F8"/>
          </w:tcPr>
          <w:p w14:paraId="331740B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1C6A3C3C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4. 物料流、投料方式与污染控制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74961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3DE2B2A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090782A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62D0D4FA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5087DC5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76684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6D4B415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4.1</w:t>
            </w:r>
          </w:p>
        </w:tc>
        <w:tc>
          <w:tcPr>
            <w:tcW w:w="3515" w:type="dxa"/>
          </w:tcPr>
          <w:p w14:paraId="1829E59A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物料进入厂房的路径缺乏控制：存在由室外直接进入 CNC 区的门、无气锁，污染风险高。客户列为较高优先级。</w:t>
            </w:r>
          </w:p>
        </w:tc>
        <w:tc>
          <w:tcPr>
            <w:tcW w:w="4025" w:type="dxa"/>
          </w:tcPr>
          <w:p w14:paraId="5EAFF5FC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开展污染风险评估；短期给出缓解措施（受控开门程序、清洁与监测加严等），长期按带压差气锁的新厂房设计方案改造，并与新厂房设计对齐确认。</w:t>
            </w:r>
          </w:p>
        </w:tc>
        <w:tc>
          <w:tcPr>
            <w:tcW w:w="1417" w:type="dxa"/>
          </w:tcPr>
          <w:p w14:paraId="014A613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5D57829D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13DC0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0A8293C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4.2</w:t>
            </w:r>
          </w:p>
        </w:tc>
        <w:tc>
          <w:tcPr>
            <w:tcW w:w="3515" w:type="dxa"/>
            <w:shd w:val="clear" w:color="auto" w:fill="EAF1F8"/>
          </w:tcPr>
          <w:p w14:paraId="01D9DC06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投料方式：客户期望尽可能密闭投料。现状举例 —— R05 加碱液使用扎带固定的敞开料斗接普通蝶阀，投料后料斗残留、蝶阀上侧积粉；位于多产品共用 CNC 区、操作工无防护，散落物可能经气锁带入洁净区。客户强调这更多是环境与交叉污染风险。</w:t>
            </w:r>
          </w:p>
        </w:tc>
        <w:tc>
          <w:tcPr>
            <w:tcW w:w="4025" w:type="dxa"/>
            <w:shd w:val="clear" w:color="auto" w:fill="EAF1F8"/>
          </w:tcPr>
          <w:p w14:paraId="4480A57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制定短期方案（防护、清洁确认、区域限制）与长期方案（密闭投料/软管密闭转移），并评估投资与实施节点。</w:t>
            </w:r>
          </w:p>
        </w:tc>
        <w:tc>
          <w:tcPr>
            <w:tcW w:w="1417" w:type="dxa"/>
            <w:shd w:val="clear" w:color="auto" w:fill="EAF1F8"/>
          </w:tcPr>
          <w:p w14:paraId="2DC726B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80609DB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3F41A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7DAFF0F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4.3</w:t>
            </w:r>
          </w:p>
        </w:tc>
        <w:tc>
          <w:tcPr>
            <w:tcW w:w="3515" w:type="dxa"/>
          </w:tcPr>
          <w:p w14:paraId="502A8D91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现场目视化与防护不足：软管端头可能落在储存架下方地面；开口/端口缺少统一防护；部分设备防护罩需升级。客户建议在储存架下方离地约 6 英寸处划线，端口使用专用防护材料（客户提到 “Bio Shield”，品名需核实）。</w:t>
            </w:r>
          </w:p>
        </w:tc>
        <w:tc>
          <w:tcPr>
            <w:tcW w:w="4025" w:type="dxa"/>
          </w:tcPr>
          <w:p w14:paraId="04F7A0F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制定统一的现场防护与目视化标准（划线、端口防护、设备罩），排期实施并纳入日常检查。</w:t>
            </w:r>
          </w:p>
        </w:tc>
        <w:tc>
          <w:tcPr>
            <w:tcW w:w="1417" w:type="dxa"/>
          </w:tcPr>
          <w:p w14:paraId="2D83F49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  <w:tr w14:paraId="5FC91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4CFA4DF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4.4</w:t>
            </w:r>
          </w:p>
        </w:tc>
        <w:tc>
          <w:tcPr>
            <w:tcW w:w="3515" w:type="dxa"/>
            <w:shd w:val="clear" w:color="auto" w:fill="EAF1F8"/>
          </w:tcPr>
          <w:p w14:paraId="21414B49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部分管线坡度背离排放点，未坡向低点。</w:t>
            </w:r>
          </w:p>
        </w:tc>
        <w:tc>
          <w:tcPr>
            <w:tcW w:w="4025" w:type="dxa"/>
            <w:shd w:val="clear" w:color="auto" w:fill="EAF1F8"/>
          </w:tcPr>
          <w:p w14:paraId="493298A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对全部相关管线做坡度专项排查并整改，形成记录。</w:t>
            </w:r>
          </w:p>
        </w:tc>
        <w:tc>
          <w:tcPr>
            <w:tcW w:w="1417" w:type="dxa"/>
            <w:shd w:val="clear" w:color="auto" w:fill="EAF1F8"/>
          </w:tcPr>
          <w:p w14:paraId="2FA404C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536F19E2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5. 临时容器与水的存放时限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43FA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71A0B8B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693D701A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4B70A89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236647C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4CC0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101A509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5.1</w:t>
            </w:r>
          </w:p>
        </w:tc>
        <w:tc>
          <w:tcPr>
            <w:tcW w:w="3515" w:type="dxa"/>
          </w:tcPr>
          <w:p w14:paraId="78931A7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多处工序使用临时容器储存/转运水（客户举例含 WFI、TFF 用水、标准溶液配制用水等）。客户列为最高优先级，认可我方正在推进。</w:t>
            </w:r>
          </w:p>
        </w:tc>
        <w:tc>
          <w:tcPr>
            <w:tcW w:w="4025" w:type="dxa"/>
          </w:tcPr>
          <w:p w14:paraId="1B1E1A5E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完成各容器的保存时限（hold time）研究：从灌装 0 时起多长时间仍符合标准，超时则排空、清洁、重新灌装，并</w:t>
            </w:r>
            <w:bookmarkStart w:id="0" w:name="_GoBack"/>
            <w:bookmarkEnd w:id="0"/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将结论写入操作文件。</w:t>
            </w:r>
          </w:p>
        </w:tc>
        <w:tc>
          <w:tcPr>
            <w:tcW w:w="1417" w:type="dxa"/>
          </w:tcPr>
          <w:p w14:paraId="4B37886E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7F4493DC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54E5A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0900F33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5.2</w:t>
            </w:r>
          </w:p>
        </w:tc>
        <w:tc>
          <w:tcPr>
            <w:tcW w:w="3515" w:type="dxa"/>
            <w:shd w:val="clear" w:color="auto" w:fill="EAF1F8"/>
          </w:tcPr>
          <w:p w14:paraId="68BBB25F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客户认为最佳实践是“需要水的地方就有使用点直供”，避免中间容器。</w:t>
            </w:r>
          </w:p>
        </w:tc>
        <w:tc>
          <w:tcPr>
            <w:tcW w:w="4025" w:type="dxa"/>
            <w:shd w:val="clear" w:color="auto" w:fill="EAF1F8"/>
          </w:tcPr>
          <w:p w14:paraId="08E77FDD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制定长期减少临时容器使用的规划（增设使用点/管线直供），纳入厂房改造计划。</w:t>
            </w:r>
          </w:p>
        </w:tc>
        <w:tc>
          <w:tcPr>
            <w:tcW w:w="1417" w:type="dxa"/>
            <w:shd w:val="clear" w:color="auto" w:fill="EAF1F8"/>
          </w:tcPr>
          <w:p w14:paraId="3D4FC6D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43C7349F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6. 换型（旧设备）与新设备投用前的清洁确认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0D3E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33B888CD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05B0A12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6D574F67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46F3341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715B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478619C1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6.1</w:t>
            </w:r>
          </w:p>
        </w:tc>
        <w:tc>
          <w:tcPr>
            <w:tcW w:w="3515" w:type="dxa"/>
          </w:tcPr>
          <w:p w14:paraId="07B70CC3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对于非全新、要用于本项目的设备，客户要求有设备清单和明确的换型方案，证明前一产品残留已被去除；并强调不能只停留在“按清洁限度跑一遍清洁”。风险点包括：未拆卸清洁的管线、软质部件（隔膜）、难清洁部件（过滤器、TFF 膜、可再装填的色谱树脂等）。</w:t>
            </w:r>
          </w:p>
        </w:tc>
        <w:tc>
          <w:tcPr>
            <w:tcW w:w="4025" w:type="dxa"/>
          </w:tcPr>
          <w:p w14:paraId="744D6590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建立“非全新设备清单 + 换型（changeover）策略”，逐类明确清洁/更换/拆检方式与验收标准，提交客户评审。</w:t>
            </w:r>
          </w:p>
        </w:tc>
        <w:tc>
          <w:tcPr>
            <w:tcW w:w="1417" w:type="dxa"/>
          </w:tcPr>
          <w:p w14:paraId="4F8066A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1A754B10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21C89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58E2865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6.2</w:t>
            </w:r>
          </w:p>
        </w:tc>
        <w:tc>
          <w:tcPr>
            <w:tcW w:w="3515" w:type="dxa"/>
            <w:shd w:val="clear" w:color="auto" w:fill="EAF1F8"/>
          </w:tcPr>
          <w:p w14:paraId="70F2D12C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对于全新设备，风险来自制造安装残留：焊接金属颗粒、遗留吹扫塞（purge plug）、抛光残留等。客户举例其内部做法：清洁后用饱和白布擦拭封头/筒壁各象限确认无残留；出口装筛网/过滤器做一次 CIP 后检查收集物。</w:t>
            </w:r>
          </w:p>
        </w:tc>
        <w:tc>
          <w:tcPr>
            <w:tcW w:w="4025" w:type="dxa"/>
            <w:shd w:val="clear" w:color="auto" w:fill="EAF1F8"/>
          </w:tcPr>
          <w:p w14:paraId="71C35B28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把我方现有做法（IQ/PQ 后管道清洗与检测、首次溶剂冲洗并从底阀排放取样、逐条管线取样确认符合标准、长期存放的年度检测与保存评估）整理成正式策略文件，明确覆盖边界与需检测的部件，提交客户确认。</w:t>
            </w:r>
          </w:p>
        </w:tc>
        <w:tc>
          <w:tcPr>
            <w:tcW w:w="1417" w:type="dxa"/>
            <w:shd w:val="clear" w:color="auto" w:fill="EAF1F8"/>
          </w:tcPr>
          <w:p w14:paraId="4EAF63E0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44749E4A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</w:tbl>
    <w:p w14:paraId="5D471377">
      <w:pPr>
        <w:keepNext/>
        <w:spacing w:before="200" w:after="80"/>
      </w:pPr>
      <w:r>
        <w:rPr>
          <w:rFonts w:ascii="Arial" w:hAnsi="Arial" w:eastAsia="微软雅黑"/>
          <w:b/>
          <w:i w:val="0"/>
          <w:color w:val="1F4E79"/>
          <w:sz w:val="22"/>
        </w:rPr>
        <w:t>7. 过滤策略与文件控制</w:t>
      </w:r>
    </w:p>
    <w:tbl>
      <w:tblPr>
        <w:tblStyle w:val="35"/>
        <w:tblW w:w="95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3515"/>
        <w:gridCol w:w="4025"/>
        <w:gridCol w:w="1417"/>
      </w:tblGrid>
      <w:tr w14:paraId="6030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1F4E79"/>
          </w:tcPr>
          <w:p w14:paraId="11AB5C6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3515" w:type="dxa"/>
            <w:shd w:val="clear" w:color="auto" w:fill="1F4E79"/>
          </w:tcPr>
          <w:p w14:paraId="18E83238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客户发现 / 期望</w:t>
            </w:r>
          </w:p>
        </w:tc>
        <w:tc>
          <w:tcPr>
            <w:tcW w:w="4025" w:type="dxa"/>
            <w:shd w:val="clear" w:color="auto" w:fill="1F4E79"/>
          </w:tcPr>
          <w:p w14:paraId="4248D63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需落实的改进要点</w:t>
            </w:r>
          </w:p>
        </w:tc>
        <w:tc>
          <w:tcPr>
            <w:tcW w:w="1417" w:type="dxa"/>
            <w:shd w:val="clear" w:color="auto" w:fill="1F4E79"/>
          </w:tcPr>
          <w:p w14:paraId="4D62B9A3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优先级</w:t>
            </w:r>
          </w:p>
        </w:tc>
      </w:tr>
      <w:tr w14:paraId="6BFD7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144CC47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7.1</w:t>
            </w:r>
          </w:p>
        </w:tc>
        <w:tc>
          <w:tcPr>
            <w:tcW w:w="3515" w:type="dxa"/>
          </w:tcPr>
          <w:p w14:paraId="682567BA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液体物料/起始物料投料必须过滤 —— 已明确写入客户批准的策略文件（客户全球评审组批准，属强制要求），客户将此列为最高风险项之一。</w:t>
            </w:r>
          </w:p>
        </w:tc>
        <w:tc>
          <w:tcPr>
            <w:tcW w:w="4025" w:type="dxa"/>
          </w:tcPr>
          <w:p w14:paraId="432E24E2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复核我方现行做法与该策略文件的一致性；如有偏离，立即纠正或提交强论证，并对齐内部程序。</w:t>
            </w:r>
          </w:p>
        </w:tc>
        <w:tc>
          <w:tcPr>
            <w:tcW w:w="1417" w:type="dxa"/>
          </w:tcPr>
          <w:p w14:paraId="3BA4BBD4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高</w:t>
            </w:r>
          </w:p>
          <w:p w14:paraId="6E903EBC">
            <w:pPr>
              <w:spacing w:before="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C00000"/>
                <w:sz w:val="19"/>
              </w:rPr>
              <w:t>（客户明示）</w:t>
            </w:r>
          </w:p>
        </w:tc>
      </w:tr>
      <w:tr w14:paraId="4AF8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EAF1F8"/>
          </w:tcPr>
          <w:p w14:paraId="08FC562B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7.2</w:t>
            </w:r>
          </w:p>
        </w:tc>
        <w:tc>
          <w:tcPr>
            <w:tcW w:w="3515" w:type="dxa"/>
            <w:shd w:val="clear" w:color="auto" w:fill="EAF1F8"/>
          </w:tcPr>
          <w:p w14:paraId="7890D296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过滤器位置与更换频次应基于风险：非促生长物流（如流动相）每批更换反而因开系统增加风险，可考虑按时间（3–6 个月）更换。客户同时提醒我方内部程序目前写明一次性使用，不应与自身文件冲突。</w:t>
            </w:r>
          </w:p>
        </w:tc>
        <w:tc>
          <w:tcPr>
            <w:tcW w:w="4025" w:type="dxa"/>
            <w:shd w:val="clear" w:color="auto" w:fill="EAF1F8"/>
          </w:tcPr>
          <w:p w14:paraId="65A48878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先修订内部程序中的过滤器使用/更换条款（含风险评估依据），再按风险调整现场做法，避免自我违规。</w:t>
            </w:r>
          </w:p>
        </w:tc>
        <w:tc>
          <w:tcPr>
            <w:tcW w:w="1417" w:type="dxa"/>
            <w:shd w:val="clear" w:color="auto" w:fill="EAF1F8"/>
          </w:tcPr>
          <w:p w14:paraId="1B256D2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  <w:tr w14:paraId="0C1F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24" w:type="dxa"/>
          </w:tcPr>
          <w:p w14:paraId="58404268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7.3</w:t>
            </w:r>
          </w:p>
        </w:tc>
        <w:tc>
          <w:tcPr>
            <w:tcW w:w="3515" w:type="dxa"/>
          </w:tcPr>
          <w:p w14:paraId="114A1D04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客户询问我方如何通过文件控制确保策略/调查文件版本唯一、受控</w:t>
            </w:r>
          </w:p>
        </w:tc>
        <w:tc>
          <w:tcPr>
            <w:tcW w:w="4025" w:type="dxa"/>
          </w:tcPr>
          <w:p w14:paraId="541DD10D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梳理相关文件的受控流程说明，并向客户确认其具体关注点后书面答复。</w:t>
            </w:r>
          </w:p>
        </w:tc>
        <w:tc>
          <w:tcPr>
            <w:tcW w:w="1417" w:type="dxa"/>
          </w:tcPr>
          <w:p w14:paraId="32A5E4BE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中</w:t>
            </w:r>
          </w:p>
        </w:tc>
      </w:tr>
    </w:tbl>
    <w:p w14:paraId="4FDA0449">
      <w:pPr>
        <w:keepNext/>
        <w:spacing w:before="200" w:after="80"/>
      </w:pPr>
      <w:r>
        <w:rPr>
          <w:rFonts w:hint="eastAsia"/>
          <w:b/>
          <w:i w:val="0"/>
          <w:color w:val="1F4E79"/>
          <w:sz w:val="22"/>
          <w:lang w:val="en-US" w:eastAsia="zh-CN"/>
        </w:rPr>
        <w:t>8</w:t>
      </w:r>
      <w:r>
        <w:rPr>
          <w:rFonts w:ascii="Arial" w:hAnsi="Arial" w:eastAsia="微软雅黑"/>
          <w:b/>
          <w:i w:val="0"/>
          <w:color w:val="1F4E79"/>
          <w:sz w:val="22"/>
        </w:rPr>
        <w:t>. 与客户的协作机制（客户明确提出的工作方式要求）</w:t>
      </w:r>
    </w:p>
    <w:tbl>
      <w:tblPr>
        <w:tblStyle w:val="35"/>
        <w:tblW w:w="72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5459"/>
      </w:tblGrid>
      <w:tr w14:paraId="29412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94" w:type="dxa"/>
            <w:shd w:val="clear" w:color="auto" w:fill="1F4E79"/>
          </w:tcPr>
          <w:p w14:paraId="04E61CF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编号</w:t>
            </w:r>
          </w:p>
        </w:tc>
        <w:tc>
          <w:tcPr>
            <w:tcW w:w="5459" w:type="dxa"/>
            <w:shd w:val="clear" w:color="auto" w:fill="1F4E79"/>
          </w:tcPr>
          <w:p w14:paraId="0FE3CDD2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19"/>
              </w:rPr>
              <w:t>客户期望</w:t>
            </w:r>
          </w:p>
        </w:tc>
      </w:tr>
      <w:tr w14:paraId="489AE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4" w:type="dxa"/>
          </w:tcPr>
          <w:p w14:paraId="10B1F345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10.1</w:t>
            </w:r>
          </w:p>
        </w:tc>
        <w:tc>
          <w:tcPr>
            <w:tcW w:w="5459" w:type="dxa"/>
          </w:tcPr>
          <w:p w14:paraId="7BCE5BAA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客户将发出约 60 项清单（含优先级与分类），由 AI 工具汇总三位审计人员的记录，可能存在重叠或表述不清；客户要求我方有疑问立即提问（可要求照片/草图），并对照我方自己的记录，凡客户清单遗漏的项主动上报。</w:t>
            </w:r>
          </w:p>
        </w:tc>
      </w:tr>
      <w:tr w14:paraId="4F07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4" w:type="dxa"/>
            <w:shd w:val="clear" w:color="auto" w:fill="EAF1F8"/>
          </w:tcPr>
          <w:p w14:paraId="59D22C8C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10.2</w:t>
            </w:r>
          </w:p>
        </w:tc>
        <w:tc>
          <w:tcPr>
            <w:tcW w:w="5459" w:type="dxa"/>
            <w:shd w:val="clear" w:color="auto" w:fill="EAF1F8"/>
          </w:tcPr>
          <w:p w14:paraId="62F5B3EE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客户建议增加专题会：清洁策略专题会（固定频次）、验证（VOA）就绪专题会，与 JPT 工艺技术会分开，避免被工艺讨论挤占。</w:t>
            </w:r>
          </w:p>
        </w:tc>
      </w:tr>
      <w:tr w14:paraId="50253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4" w:type="dxa"/>
          </w:tcPr>
          <w:p w14:paraId="47C06A96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10.3</w:t>
            </w:r>
          </w:p>
        </w:tc>
        <w:tc>
          <w:tcPr>
            <w:tcW w:w="5459" w:type="dxa"/>
          </w:tcPr>
          <w:p w14:paraId="25147AF4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客户要求重大改造在投入人力物力之前先送审方案（如排放阀处理方式、分馏管线设计、水系统总管改造），避免返工。</w:t>
            </w:r>
          </w:p>
        </w:tc>
      </w:tr>
      <w:tr w14:paraId="3C13C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4" w:type="dxa"/>
            <w:shd w:val="clear" w:color="auto" w:fill="EAF1F8"/>
          </w:tcPr>
          <w:p w14:paraId="56ED290F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10.4</w:t>
            </w:r>
          </w:p>
        </w:tc>
        <w:tc>
          <w:tcPr>
            <w:tcW w:w="5459" w:type="dxa"/>
            <w:shd w:val="clear" w:color="auto" w:fill="EAF1F8"/>
          </w:tcPr>
          <w:p w14:paraId="259B7CC1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客户认可通过详细视频发现问题（其部分发现即来自我方提供的视频），建议增加逐个接口的细节视频、现场直播走查，并改善会议室摄像条件、对设备做清晰标识。</w:t>
            </w:r>
          </w:p>
        </w:tc>
      </w:tr>
      <w:tr w14:paraId="31EDB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94" w:type="dxa"/>
          </w:tcPr>
          <w:p w14:paraId="2B44A6A9">
            <w:pPr>
              <w:spacing w:before="40" w:after="40" w:line="288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10.5</w:t>
            </w:r>
          </w:p>
        </w:tc>
        <w:tc>
          <w:tcPr>
            <w:tcW w:w="5459" w:type="dxa"/>
          </w:tcPr>
          <w:p w14:paraId="64D4992B">
            <w:pPr>
              <w:spacing w:before="40" w:after="40" w:line="288" w:lineRule="auto"/>
            </w:pPr>
            <w:r>
              <w:rPr>
                <w:rFonts w:ascii="Arial" w:hAnsi="Arial" w:eastAsia="微软雅黑"/>
                <w:b w:val="0"/>
                <w:i w:val="0"/>
                <w:color w:val="404040"/>
                <w:sz w:val="19"/>
              </w:rPr>
              <w:t>客户提出在恢复/启动前可能再安排一次现场访问，并强调时间安排是关键关注点。</w:t>
            </w:r>
          </w:p>
        </w:tc>
      </w:tr>
    </w:tbl>
    <w:p w14:paraId="09C9A05E">
      <w:pPr>
        <w:spacing w:before="0" w:after="50" w:line="300" w:lineRule="auto"/>
        <w:ind w:left="312" w:hanging="312"/>
      </w:pPr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BF231">
    <w:pPr>
      <w:pStyle w:val="18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6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6912</Words>
  <Characters>7461</Characters>
  <Lines>0</Lines>
  <Paragraphs>0</Paragraphs>
  <TotalTime>9</TotalTime>
  <ScaleCrop>false</ScaleCrop>
  <LinksUpToDate>false</LinksUpToDate>
  <CharactersWithSpaces>7746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李涛</cp:lastModifiedBy>
  <dcterms:modified xsi:type="dcterms:W3CDTF">2026-09-18T06:07:34Z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eyJoZGlkIjoiMjhlMGM4Y2VhNmY1NjRmNmY3MzIyNzhjZTY2NDdkMWUiLCJ1c2VySWQiOiIxNjY3MDA0NzUyMTMwIn0=</vt:lpwstr>
  </property>
  <property fmtid="{D5CDD505-2E9C-101B-9397-08002B2CF9AE}" pid="3" name="KSOProductBuildVer">
    <vt:lpwstr>1033-12.1.0.28485</vt:lpwstr>
  </property>
  <property fmtid="{D5CDD505-2E9C-101B-9397-08002B2CF9AE}" pid="4" name="ICV">
    <vt:lpwstr>3461B80A4FEE491787807BE93761E45E_12</vt:lpwstr>
  </property>
</Properties>
</file>