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jc w:val="center"/>
      </w:pPr>
      <w:r>
        <w:rPr>
          <w:b/>
          <w:bCs/>
          <w:sz w:val="48"/>
          <w:szCs w:val="48"/>
        </w:rPr>
        <w:t xml:space="preserve">PM-Tennis Project</w:t>
      </w:r>
    </w:p>
    <w:p>
      <w:r>
        <w:t xml:space="preserve"/>
      </w:r>
    </w:p>
    <w:p>
      <w:pPr>
        <w:jc w:val="center"/>
      </w:pPr>
      <w:r>
        <w:rPr>
          <w:sz w:val="36"/>
          <w:szCs w:val="36"/>
        </w:rPr>
        <w:t xml:space="preserve">Build Plan</w:t>
      </w:r>
    </w:p>
    <w:p>
      <w:r>
        <w:t xml:space="preserve"/>
      </w:r>
    </w:p>
    <w:p>
      <w:pPr>
        <w:jc w:val="center"/>
      </w:pPr>
      <w:r>
        <w:rPr>
          <w:b/>
          <w:bCs/>
          <w:sz w:val="28"/>
          <w:szCs w:val="28"/>
        </w:rPr>
        <w:t xml:space="preserve">Version 4</w:t>
      </w:r>
    </w:p>
    <w:p>
      <w:pPr>
        <w:jc w:val="center"/>
      </w:pPr>
      <w:r>
        <w:rPr>
          <w:sz w:val="24"/>
          <w:szCs w:val="24"/>
        </w:rPr>
        <w:t xml:space="preserve">April 18, 2026</w:t>
      </w:r>
    </w:p>
    <w:p>
      <w:r>
        <w:t xml:space="preserve"/>
      </w:r>
    </w:p>
    <w:p>
      <w:r>
        <w:t xml:space="preserve"/>
      </w:r>
    </w:p>
    <w:p>
      <w:pPr>
        <w:pStyle w:val="Heading1"/>
      </w:pPr>
      <w:r>
        <w:rPr>
          <w:b/>
          <w:bCs/>
        </w:rPr>
        <w:t xml:space="preserve">Change Log</w:t>
      </w:r>
    </w:p>
    <w:p>
      <w:pPr>
        <w:pStyle w:val="Heading2"/>
      </w:pPr>
      <w:r>
        <w:rPr>
          <w:b/>
          <w:bCs/>
        </w:rPr>
        <w:t xml:space="preserve">Version 4 — April 18, 2026</w:t>
      </w:r>
    </w:p>
    <w:p>
      <w:r>
        <w:rPr>
          <w:b/>
          <w:bCs/>
        </w:rPr>
        <w:t xml:space="preserve">Motivated by: </w:t>
      </w:r>
      <w:r>
        <w:t xml:space="preserve">Premise shift from mispricing-test to instrument-vs-intuition test, directed by operator on 2026-04-18 following adjacent analytical session that produced a baseline dataset of pre-instrument trading performance. See DecisionJournal entry for D-008 (v3→v4 revision).</w:t>
      </w:r>
    </w:p>
    <w:p>
      <w:r>
        <w:t xml:space="preserve"/>
      </w:r>
    </w:p>
    <w:p>
      <w:r>
        <w:rPr>
          <w:b/>
          <w:bCs/>
        </w:rPr>
        <w:t xml:space="preserve">Sections substantially rewritten:</w:t>
      </w:r>
    </w:p>
    <w:p>
      <w:pPr>
        <w:pStyle w:val="ListParagraph"/>
        <w:numPr>
          <w:ilvl w:val="0"/>
          <w:numId w:val="2"/>
        </w:numPr>
      </w:pPr>
      <w:r>
        <w:t xml:space="preserve">Section 1 (Orientation): opening paragraphs reframed around instrument-vs-intuition premise. “Mispricing thesis” language replaced with baseline-and-improvement framing.</w:t>
      </w:r>
    </w:p>
    <w:p>
      <w:pPr>
        <w:pStyle w:val="ListParagraph"/>
        <w:numPr>
          <w:ilvl w:val="0"/>
          <w:numId w:val="2"/>
        </w:numPr>
      </w:pPr>
      <w:r>
        <w:t xml:space="preserve">Section 3 (Thesis): restructured from “why mispricings might exist” to three testable hypotheses (H1, H2) anchored at the 58.2% breakeven threshold and against the operator’s pre-instrument control baseline.</w:t>
      </w:r>
    </w:p>
    <w:p>
      <w:pPr>
        <w:pStyle w:val="ListParagraph"/>
        <w:numPr>
          <w:ilvl w:val="0"/>
          <w:numId w:val="2"/>
        </w:numPr>
      </w:pPr>
      <w:r>
        <w:t xml:space="preserve">Section 9 (Observation Window and Window-Close Decision): primary criterion restructured as control-vs-test comparison; fixed $25 position size removed; composite outcome matrix added.</w:t>
      </w:r>
    </w:p>
    <w:p>
      <w:r>
        <w:t xml:space="preserve"/>
      </w:r>
    </w:p>
    <w:p>
      <w:r>
        <w:rPr>
          <w:b/>
          <w:bCs/>
        </w:rPr>
        <w:t xml:space="preserve">Sections added:</w:t>
      </w:r>
    </w:p>
    <w:p>
      <w:pPr>
        <w:pStyle w:val="ListParagraph"/>
        <w:numPr>
          <w:ilvl w:val="0"/>
          <w:numId w:val="2"/>
        </w:numPr>
      </w:pPr>
      <w:r>
        <w:t xml:space="preserve">Section 3.4 (Control Baseline): self-contained summary of operator’s pre-instrument trading performance, sourced from adjacent analytical session.</w:t>
      </w:r>
    </w:p>
    <w:p>
      <w:pPr>
        <w:pStyle w:val="ListParagraph"/>
        <w:numPr>
          <w:ilvl w:val="0"/>
          <w:numId w:val="2"/>
        </w:numPr>
      </w:pPr>
      <w:r>
        <w:t xml:space="preserve">Section 4.6 (Conviction Scoring): new instrument-feature subsection specifying how the instrument computes and surfaces a conviction score to support sizing decisions.</w:t>
      </w:r>
    </w:p>
    <w:p>
      <w:pPr>
        <w:pStyle w:val="ListParagraph"/>
        <w:numPr>
          <w:ilvl w:val="0"/>
          <w:numId w:val="2"/>
        </w:numPr>
      </w:pPr>
      <w:r>
        <w:t xml:space="preserve">Section 4.7 (Exit Context): new instrument-feature subsection specifying dynamic exit-context surfacing. Both 4.6 and 4.7 ship at Phase 5.</w:t>
      </w:r>
    </w:p>
    <w:p>
      <w:r>
        <w:t xml:space="preserve"/>
      </w:r>
    </w:p>
    <w:p>
      <w:r>
        <w:rPr>
          <w:b/>
          <w:bCs/>
        </w:rPr>
        <w:t xml:space="preserve">Decisions reconciled:</w:t>
      </w:r>
    </w:p>
    <w:p>
      <w:pPr>
        <w:pStyle w:val="ListParagraph"/>
        <w:numPr>
          <w:ilvl w:val="0"/>
          <w:numId w:val="2"/>
        </w:numPr>
      </w:pPr>
      <w:r>
        <w:t xml:space="preserve">D-006 (game-level signal model, from H-005): applied to Section 4.2. Point-level state dimensions removed.</w:t>
      </w:r>
    </w:p>
    <w:p>
      <w:pPr>
        <w:pStyle w:val="ListParagraph"/>
        <w:numPr>
          <w:ilvl w:val="0"/>
          <w:numId w:val="2"/>
        </w:numPr>
      </w:pPr>
      <w:r>
        <w:t xml:space="preserve">D-007 (58.2% breakeven, from H-005): applied to Section 9.3 primary criterion.</w:t>
      </w:r>
    </w:p>
    <w:p>
      <w:pPr>
        <w:pStyle w:val="ListParagraph"/>
        <w:numPr>
          <w:ilvl w:val="0"/>
          <w:numId w:val="2"/>
        </w:numPr>
      </w:pPr>
      <w:r>
        <w:t xml:space="preserve">D-003 (Sports WS granularity gate): marked resolved per H-005 finding; plan text describes it as a completed verification, not a pending gate.</w:t>
      </w:r>
    </w:p>
    <w:p>
      <w:pPr>
        <w:pStyle w:val="ListParagraph"/>
        <w:numPr>
          <w:ilvl w:val="0"/>
          <w:numId w:val="2"/>
        </w:numPr>
      </w:pPr>
      <w:r>
        <w:t xml:space="preserve">Pilot-then-freeze protocol for signal_thresholds.json: noted in Section 8 Phase 7 and Section 9 as a Phase 7 decision to be fully specified at that time (to be assigned D-008 at Phase 7).</w:t>
      </w:r>
    </w:p>
    <w:p>
      <w:r>
        <w:t xml:space="preserve"/>
      </w:r>
    </w:p>
    <w:p>
      <w:r>
        <w:rPr>
          <w:b/>
          <w:bCs/>
        </w:rPr>
        <w:t xml:space="preserve">Sections unchanged:</w:t>
      </w:r>
    </w:p>
    <w:p>
      <w:r>
        <w:t xml:space="preserve">Sections 1.5, 2, 4.1–4.5, 5, 6, 8 Phase 1 (already executed), 10, 12, 13, and all referenced scaffolding artifacts. fees.json, breakeven.json, and Sackmann P(S) tables committed in H-005 are used as-is.</w:t>
      </w:r>
    </w:p>
    <w:p>
      <w:r>
        <w:t xml:space="preserve"/>
      </w:r>
    </w:p>
    <w:p>
      <w:pPr>
        <w:pStyle w:val="Heading2"/>
      </w:pPr>
      <w:r>
        <w:rPr>
          <w:b/>
          <w:bCs/>
        </w:rPr>
        <w:t xml:space="preserve">Version 3 — April 17, 2026</w:t>
      </w:r>
    </w:p>
    <w:p>
      <w:r>
        <w:t xml:space="preserve">Original build plan. Framed project as test of market mispricing hypothesis. Fixed $25 position size. Game-level model pending verification (D-003). Breakeven win rate pending derivation (D-007).</w:t>
      </w:r>
    </w:p>
    <w:p>
      <w:r>
        <w:t xml:space="preserve"/>
      </w:r>
    </w:p>
    <w:p>
      <w:pPr>
        <w:pStyle w:val="Heading1"/>
      </w:pPr>
      <w:r>
        <w:rPr>
          <w:b/>
          <w:bCs/>
        </w:rPr>
        <w:t xml:space="preserve">1. Orientation</w:t>
      </w:r>
    </w:p>
    <w:p>
      <w:pPr>
        <w:pStyle w:val="Heading2"/>
      </w:pPr>
      <w:r>
        <w:rPr>
          <w:b/>
          <w:bCs/>
        </w:rPr>
        <w:t xml:space="preserve">1.1 What this project is</w:t>
      </w:r>
    </w:p>
    <w:p>
      <w:r>
        <w:t xml:space="preserve">PM-Tennis is an instrument and a trading system built around a specific research question: does data-informed decision-making, supported by an instrument that surfaces fair-price estimates, conviction scoring, and exit context, produce measurably better outcomes than the operator’s existing intuition-based discretionary trading? The operator has been trading Polymarket US in-play tennis markets for approximately one week prior to this document and has produced positive ROI (+8.5% overall, +14.3% on actively managed positions) over that period. The ROI is real but statistically indistinguishable from fee-adjusted breakeven at this sample size, and its composition suggests it is driven by win/loss magnitude asymmetry rather than by a clear hit-rate edge. PM-Tennis tests whether adding systematic data support shifts that profile.</w:t>
      </w:r>
    </w:p>
    <w:p>
      <w:r>
        <w:t xml:space="preserve"/>
      </w:r>
    </w:p>
    <w:p>
      <w:r>
        <w:t xml:space="preserve">The instrument records every tick of order-book activity and every score-state change across all active men’s and women’s singles matches on Polymarket US — ATP main-tour, WTA main-tour, Grand Slams, and Challenger-level tournaments — time-synchronized to local wall-clock. The trading system sits on top of the instrument and identifies moments when a match’s moneyline price appears to have undershot the level that the pre-match consensus plus the subsequent score history jointly justify. At those moments, the operator places a passive buy order through the Polymarket US iPhone app and waits for the price to drift toward its justified level. At every decision point — entry sizing, exit target setting, exit adjustment — the instrument surfaces computed context: fair-price estimate, conviction score, set state, rankings, recent price trajectory, and price-extremity warnings. The operator retains full discretion over all decisions; the instrument informs but does not automate.</w:t>
      </w:r>
    </w:p>
    <w:p>
      <w:r>
        <w:t xml:space="preserve"/>
      </w:r>
    </w:p>
    <w:p>
      <w:r>
        <w:t xml:space="preserve">The project is not a handicapping operation. It does not attempt to predict who will win individual matches. The fair-price model derives its signal from two inputs joined in log-odds space: the pre-match Polymarket US consensus price, which encodes the players’ relative strength, and the Sackmann point-by-point archives, which encode the statistical impact of each score state in tennis agnostic of player identity. The instrument’s job is to compute this combined fair value continuously and surface it clearly. The operator’s job is to use it.</w:t>
      </w:r>
    </w:p>
    <w:p>
      <w:r>
        <w:t xml:space="preserve"/>
      </w:r>
    </w:p>
    <w:p>
      <w:pPr>
        <w:pStyle w:val="Heading2"/>
      </w:pPr>
      <w:r>
        <w:rPr>
          <w:b/>
          <w:bCs/>
        </w:rPr>
        <w:t xml:space="preserve">1.2 What a reader needs to hold in mind to follow this document</w:t>
      </w:r>
    </w:p>
    <w:p>
      <w:r>
        <w:t xml:space="preserve">Four things set the shape of everything that follows.</w:t>
      </w:r>
    </w:p>
    <w:p>
      <w:r>
        <w:t xml:space="preserve"/>
      </w:r>
    </w:p>
    <w:p>
      <w:r>
        <w:rPr>
          <w:b/>
          <w:bCs/>
        </w:rPr>
        <w:t xml:space="preserve">First, the venue is Polymarket US.</w:t>
      </w:r>
      <w:r>
        <w:t xml:space="preserve"> Polymarket US (polymarketexchange.com) is the CFTC-regulated Designated Contract Market operated by the Polymarket organization following its acquisition of the QCEX license in late 2025. The operator holds a funded account on Polymarket US and trades tennis markets through its iPhone app. The offshore Polymarket product (polymarket.com) is out of scope; all fee schedules, market structures, and execution mechanics in this document reference Polymarket US exclusively.</w:t>
      </w:r>
    </w:p>
    <w:p>
      <w:r>
        <w:t xml:space="preserve"/>
      </w:r>
    </w:p>
    <w:p>
      <w:r>
        <w:rPr>
          <w:b/>
          <w:bCs/>
        </w:rPr>
        <w:t xml:space="preserve">Second, all trading is executed on an iPhone through the Polymarket US app.</w:t>
      </w:r>
      <w:r>
        <w:t xml:space="preserve"> This is the single most load-bearing constraint on the project. The app permits passive limit orders at or better than the current market and a sell-at-market action on open positions. There are no stop-loss orders, no take-profit triggers, no one-cancels-other brackets, and no ability to short. Every position is entered by a resting buy and exited either by a resting sell or by a sell-at-market action.</w:t>
      </w:r>
    </w:p>
    <w:p>
      <w:r>
        <w:t xml:space="preserve"/>
      </w:r>
    </w:p>
    <w:p>
      <w:r>
        <w:rPr>
          <w:b/>
          <w:bCs/>
        </w:rPr>
        <w:t xml:space="preserve">Third, the tradeable direction is always long-on-YES-then-exit-higher.</w:t>
      </w:r>
      <w:r>
        <w:t xml:space="preserve"> Because the app cannot short, and because every exit must be higher than entry to be profitable, the only tradeable setup is: buy a YES token at a price below its fair value, wait for the market to lift that price toward fair, sell.</w:t>
      </w:r>
    </w:p>
    <w:p>
      <w:r>
        <w:t xml:space="preserve"/>
      </w:r>
    </w:p>
    <w:p>
      <w:r>
        <w:rPr>
          <w:b/>
          <w:bCs/>
        </w:rPr>
        <w:t xml:space="preserve">Fourth, this is a one-operator, one-window study.</w:t>
      </w:r>
      <w:r>
        <w:t xml:space="preserve"> The observation window measures whether the instrument improves this operator’s outcomes relative to a one-week pre-instrument control baseline. Findings are operator-specific. Generalization claims are not in scope for v4.</w:t>
      </w:r>
    </w:p>
    <w:p>
      <w:r>
        <w:t xml:space="preserve"/>
      </w:r>
    </w:p>
    <w:p>
      <w:pPr>
        <w:pStyle w:val="Heading2"/>
      </w:pPr>
      <w:r>
        <w:rPr>
          <w:b/>
          <w:bCs/>
        </w:rPr>
        <w:t xml:space="preserve">1.3 How the project unfolds</w:t>
      </w:r>
    </w:p>
    <w:p>
      <w:r>
        <w:t xml:space="preserve">The project has a build phase and an observation phase, separated by a clear exit criterion. The build phase consists of seven self-contained phases described in Section 8. Each phase leaves the system in a working state.</w:t>
      </w:r>
    </w:p>
    <w:p>
      <w:r>
        <w:t xml:space="preserve"/>
      </w:r>
    </w:p>
    <w:p>
      <w:r>
        <w:t xml:space="preserve">After the build phase, the project enters an observation window. The operator places passive orders on the Polymarket US iPhone app based on qualifying signals while logging every intent and fill through the dashboard. The window closes when either 250 qualifying signals have been captured or 60 calendar days have elapsed, whichever comes first. At window close, a pre-committed statistical decision is made against the captured archive using the criteria stated in Section 9.</w:t>
      </w:r>
    </w:p>
    <w:p>
      <w:r>
        <w:t xml:space="preserve"/>
      </w:r>
    </w:p>
    <w:p>
      <w:r>
        <w:t xml:space="preserve">Total expected effort to complete the build phase is four to six sessions of one to two hours each. Phase 3 (capture) and Phase 6 (replay simulator) are the two longest phases.</w:t>
      </w:r>
    </w:p>
    <w:p>
      <w:r>
        <w:t xml:space="preserve"/>
      </w:r>
    </w:p>
    <w:p>
      <w:pPr>
        <w:pStyle w:val="Heading2"/>
      </w:pPr>
      <w:r>
        <w:rPr>
          <w:b/>
          <w:bCs/>
        </w:rPr>
        <w:t xml:space="preserve">1.4 Open issues and verification</w:t>
      </w:r>
    </w:p>
    <w:p>
      <w:r>
        <w:t xml:space="preserve">Section 11 tracks open issues by severity. The Sports WebSocket granularity question (previously open as a Phase 1 gate) was resolved in H-005: the public Sports WebSocket emits game-boundary transitions only. Decision D-006 adopted the game-level signal model. All Phase 1 technical verifications are complete.</w:t>
      </w:r>
    </w:p>
    <w:p>
      <w:r>
        <w:t xml:space="preserve"/>
      </w:r>
    </w:p>
    <w:p>
      <w:pPr>
        <w:pStyle w:val="Heading2"/>
      </w:pPr>
      <w:r>
        <w:rPr>
          <w:b/>
          <w:bCs/>
        </w:rPr>
        <w:t xml:space="preserve">1.5 Development environment, roles, and obligations</w:t>
      </w:r>
    </w:p>
    <w:p>
      <w:r>
        <w:t xml:space="preserve">The build plan as originally written assumes a technically experienced developer-operator administering a self-managed Linux VPS over SSH. The actual project conditions are different, and this section states them explicitly so that every downstream phase, acceptance criterion, and operational procedure is interpreted against the real environment rather than the implied one.</w:t>
      </w:r>
    </w:p>
    <w:p>
      <w:r>
        <w:t xml:space="preserve"/>
      </w:r>
    </w:p>
    <w:p>
      <w:r>
        <w:t xml:space="preserve">This project is being built end-to-end by Claude, operating across a series of discrete chat sessions, under the direction of a single non-technical operator. The build plan’s technical integrity does not change as a result — the design remains as specified — but the division of labor, the toolchain, and the governance structure differ materially from a conventional development project.</w:t>
      </w:r>
    </w:p>
    <w:p>
      <w:r>
        <w:t xml:space="preserve"/>
      </w:r>
    </w:p>
    <w:p>
      <w:pPr>
        <w:pStyle w:val="Heading3"/>
      </w:pPr>
      <w:r>
        <w:rPr>
          <w:b/>
          <w:bCs/>
        </w:rPr>
        <w:t xml:space="preserve">1.5.1 Development environment</w:t>
      </w:r>
    </w:p>
    <w:p>
      <w:r>
        <w:t xml:space="preserve">The project is developed entirely through Claude chat sessions. There is no local developer workstation, no integrated development environment, no persistent developer shell, and no background automation agent. Claude writes code and documentation inside chat sessions; the operator moves files from chat to the project’s storage locations through web-based drag-and-drop interfaces. At no point in the project lifecycle does the operator use a terminal, SSH, a command-line tool, or any text-based administrative interface.</w:t>
      </w:r>
    </w:p>
    <w:p>
      <w:r>
        <w:t xml:space="preserve"/>
      </w:r>
    </w:p>
    <w:p>
      <w:r>
        <w:t xml:space="preserve">The project’s canonical assets live in three web-accessible locations: source code and documentation in a GitHub repository; the frontend (live dashboard, admin and test-harness UI) deployed to Netlify; the backend (capture worker, API, replay simulator, scheduled jobs, persistent storage) deployed to Render.</w:t>
      </w:r>
    </w:p>
    <w:p>
      <w:r>
        <w:t xml:space="preserve"/>
      </w:r>
    </w:p>
    <w:p>
      <w:r>
        <w:t xml:space="preserve">Two consequences of this environment follow and bind the rest of the plan. First, Phase 1 host-preparation tasks are replaced wholesale by web-based account setup on the chosen PaaS. Second, every verification step, test, diagnostic, and acceptance criterion must be accessible through either a web UI, a screenshot-able visual surface, or a copy-paste text block. Any step that would ordinarily be performed by tailing a log file or running a Python test from a shell must be re-expressed as a button in the admin UI, a panel in the dashboard, or a generated report file the operator can download.</w:t>
      </w:r>
    </w:p>
    <w:p>
      <w:r>
        <w:t xml:space="preserve"/>
      </w:r>
    </w:p>
    <w:p>
      <w:pPr>
        <w:pStyle w:val="Heading3"/>
      </w:pPr>
      <w:r>
        <w:rPr>
          <w:b/>
          <w:bCs/>
        </w:rPr>
        <w:t xml:space="preserve">1.5.2 Session model and the handoff protocol</w:t>
      </w:r>
    </w:p>
    <w:p>
      <w:r>
        <w:t xml:space="preserve">Work on this project happens in discrete Claude chat sessions. Claude retains no memory between sessions. Project continuity depends entirely on two things: the state of the Git repository at session start, and the handoff document the operator provides to open the session.</w:t>
      </w:r>
    </w:p>
    <w:p>
      <w:r>
        <w:t xml:space="preserve"/>
      </w:r>
    </w:p>
    <w:p>
      <w:r>
        <w:t xml:space="preserve">The handoff protocol: at the end of every session, Claude produces a handoff document summarizing what was done, what remains, what decisions were made, what open questions exist, and what the next session should pick up. The operator saves this document and provides it at the start of the next session. Claude reads the handoff, confirms orientation explicitly, and only then proceeds to substantive work.</w:t>
      </w:r>
    </w:p>
    <w:p>
      <w:r>
        <w:t xml:space="preserve"/>
      </w:r>
    </w:p>
    <w:p>
      <w:r>
        <w:t xml:space="preserve">The handoff document contains, at minimum: a sequential handoff identifier; session timestamps; current work package and phase-checkpoint status; every file created, modified, or deleted; every decision made with reasoning; open questions requiring operator input; flagged issues or tripwires; a Claude self-report; and an explicit next-action statement.</w:t>
      </w:r>
    </w:p>
    <w:p>
      <w:r>
        <w:t xml:space="preserve"/>
      </w:r>
    </w:p>
    <w:p>
      <w:r>
        <w:t xml:space="preserve">A handoff is considered thin if it lacks any required element, if its next-action statement is ambiguous, or if it appears inconsistent with the repository state. When Claude encounters a thin handoff, the rule is to stop and surface the inconsistency before proceeding.</w:t>
      </w:r>
    </w:p>
    <w:p>
      <w:r>
        <w:t xml:space="preserve"/>
      </w:r>
    </w:p>
    <w:p>
      <w:pPr>
        <w:pStyle w:val="Heading3"/>
      </w:pPr>
      <w:r>
        <w:rPr>
          <w:b/>
          <w:bCs/>
        </w:rPr>
        <w:t xml:space="preserve">1.5.3 Operator role and obligations</w:t>
      </w:r>
    </w:p>
    <w:p>
      <w:r>
        <w:t xml:space="preserve">The operator is the project’s sole human participant, acting simultaneously as product owner, UAT tester, trader, and custodian of project state between sessions.</w:t>
      </w:r>
    </w:p>
    <w:p>
      <w:r>
        <w:t xml:space="preserve"/>
      </w:r>
    </w:p>
    <w:p>
      <w:r>
        <w:t xml:space="preserve">The operator shall: provide direction and scope at session start; perform UAT pass/fail on every phase-exit gate; place all trades manually on the Polymarket US iPhone app and log every trade action through the dashboard; log operator availability through the dashboard toggle; perform daily manual-trade reconciliation; maintain the external accounts the project depends on; perform drag-and-drop commits to GitHub when Claude provides updated files; preserve the handoff document at session end; and fund the project’s ongoing costs.</w:t>
      </w:r>
    </w:p>
    <w:p>
      <w:r>
        <w:t xml:space="preserve"/>
      </w:r>
    </w:p>
    <w:p>
      <w:r>
        <w:t xml:space="preserve">The operator shall not: write project code or edit project documentation files directly; share account credentials or API keys with Claude in chat; or modify commitment files during active observation windows.</w:t>
      </w:r>
    </w:p>
    <w:p>
      <w:r>
        <w:t xml:space="preserve"/>
      </w:r>
    </w:p>
    <w:p>
      <w:pPr>
        <w:pStyle w:val="Heading3"/>
      </w:pPr>
      <w:r>
        <w:rPr>
          <w:b/>
          <w:bCs/>
        </w:rPr>
        <w:t xml:space="preserve">1.5.4 Claude’s role and obligations</w:t>
      </w:r>
    </w:p>
    <w:p>
      <w:r>
        <w:t xml:space="preserve">Claude is the sole author of code, documentation, tests, diagnostics, and analysis for this project.</w:t>
      </w:r>
    </w:p>
    <w:p>
      <w:r>
        <w:t xml:space="preserve"/>
      </w:r>
    </w:p>
    <w:p>
      <w:r>
        <w:t xml:space="preserve">Claude shall: write all project code; write and maintain all project documentation; build test harnesses and admin-UI surfaces sufficient to allow the operator to verify every acceptance criterion without terminal access; present evidence for each phase-exit gate and wait for the operator’s verdict; produce a handoff document at session end and accept it at session start; surface uncertainty and unexpected findings rather than adapting silently; log every non-trivial decision to the decision journal; maintain the RAID log; enforce the doc-code coupling rule; and respect the pre-commitment register and the observation-active lock.</w:t>
      </w:r>
    </w:p>
    <w:p>
      <w:r>
        <w:t xml:space="preserve"/>
      </w:r>
    </w:p>
    <w:p>
      <w:r>
        <w:t xml:space="preserve">Claude shall not: place trades or access operator credentials; declare a phase gate passed without explicit operator UAT verdict; introduce terminal-only verification steps; silently adapt to unexpected findings; expand scope without operator direction; or modify any commitment file during an active observation window.</w:t>
      </w:r>
    </w:p>
    <w:p>
      <w:r>
        <w:t xml:space="preserve"/>
      </w:r>
    </w:p>
    <w:p>
      <w:pPr>
        <w:pStyle w:val="Heading3"/>
      </w:pPr>
      <w:r>
        <w:rPr>
          <w:b/>
          <w:bCs/>
        </w:rPr>
        <w:t xml:space="preserve">1.5.5 Governance, protocol, and the observation-active lock</w:t>
      </w:r>
    </w:p>
    <w:p>
      <w:r>
        <w:t xml:space="preserve">Governance operates on four layers: session protocol (handoff and orientation ritual); gate-blocking language in acceptance criteria; tripwires that trigger hard stops at specific high-risk situations; and operator spot-checks.</w:t>
      </w:r>
    </w:p>
    <w:p>
      <w:r>
        <w:t xml:space="preserve"/>
      </w:r>
    </w:p>
    <w:p>
      <w:r>
        <w:t xml:space="preserve">The commitment files — signal_thresholds.json, fees.json, breakeven.json, and data/sackmann/build_log.json — are protected by daily SHA-256 checksums and the observation-active lock (a file named OBSERVATION_ACTIVE in the repository). When this file is present, Claude refuses to modify any commitment file regardless of the request.</w:t>
      </w:r>
    </w:p>
    <w:p>
      <w:r>
        <w:t xml:space="preserve"/>
      </w:r>
    </w:p>
    <w:p>
      <w:r>
        <w:t xml:space="preserve">Tripwires that apply at all times: any modification to a commitment file during an active observation window; any attempt to skip a phase-exit gate; any session that begins without the handoff-acceptance ritual; any test failure Claude is tempted to resolve by weakening the test; any acceptance criterion requiring terminal access; any operator request that would fire one of the above.</w:t>
      </w:r>
    </w:p>
    <w:p>
      <w:r>
        <w:t xml:space="preserve"/>
      </w:r>
    </w:p>
    <w:p>
      <w:pPr>
        <w:pStyle w:val="Heading3"/>
      </w:pPr>
      <w:r>
        <w:rPr>
          <w:b/>
          <w:bCs/>
        </w:rPr>
        <w:t xml:space="preserve">1.5.6 Reconciliation with downstream sections</w:t>
      </w:r>
    </w:p>
    <w:p>
      <w:r>
        <w:t xml:space="preserve">The Hetzner-plus-SSH assumption in v3’s original drafting is replaced throughout by the Render+Netlify+GitHub environment. The mapping: Section 6.1 host becomes Render managed PaaS; Section 6.3 Docker containers become Render background worker, web service, and cron jobs; Section 6.4 frontend remains Netlify; Section 8 Phase 1 host-preparation tasks are replaced by web-based account setup; Section 8 Phase 7 monitoring becomes Render built-in healthcheck plus external uptime monitor; Section 5.8 backup becomes managed object storage.</w:t>
      </w:r>
    </w:p>
    <w:p>
      <w:r>
        <w:t xml:space="preserve"/>
      </w:r>
    </w:p>
    <w:p>
      <w:pPr>
        <w:pStyle w:val="Heading1"/>
      </w:pPr>
      <w:r>
        <w:rPr>
          <w:b/>
          <w:bCs/>
        </w:rPr>
        <w:t xml:space="preserve">2. iPhone Execution Mechanics</w:t>
      </w:r>
    </w:p>
    <w:p>
      <w:r>
        <w:t xml:space="preserve">Every principle in this section shapes what the instrument records, what the analysis looks for, and what the decision criteria measure. The section is descriptive of how the platform works, not prescriptive of a choice being made.</w:t>
      </w:r>
    </w:p>
    <w:p>
      <w:r>
        <w:t xml:space="preserve"/>
      </w:r>
    </w:p>
    <w:p>
      <w:pPr>
        <w:pStyle w:val="Heading2"/>
      </w:pPr>
      <w:r>
        <w:rPr>
          <w:b/>
          <w:bCs/>
        </w:rPr>
        <w:t xml:space="preserve">2.1 The Polymarket US market model</w:t>
      </w:r>
    </w:p>
    <w:p>
      <w:r>
        <w:t xml:space="preserve">Polymarket US runs a central limit order book (CLOB) for each binary market. Each tennis match event contains markets — moneyline, first-set winner, set handicap, match totals, and others. Each market has two outcome contracts, YES and NO, with prices from $0.01 to $0.99 representing the implied probability the outcome resolves YES. At resolution, winning-outcome contracts pay $1.00 each and losing-outcome contracts expire worthless.</w:t>
      </w:r>
    </w:p>
    <w:p>
      <w:r>
        <w:t xml:space="preserve"/>
      </w:r>
    </w:p>
    <w:p>
      <w:r>
        <w:t xml:space="preserve">Liquidity comes primarily from professional market makers running automated quoting systems, supported by the Polymarket US Maker Rebates Program, which credits resting makers a rebate of 25% of the taker fee. Under normal conditions a match has continuously quoted bids and asks on both YES contracts, typically with spreads of one to a few cents.</w:t>
      </w:r>
    </w:p>
    <w:p>
      <w:r>
        <w:t xml:space="preserve"/>
      </w:r>
    </w:p>
    <w:p>
      <w:r>
        <w:t xml:space="preserve">The iPhone app displays prices as integer percentages (e.g., 62%, 38%) rather than as decimal probabilities. The dashboard produced in Phase 5 uses the same convention to minimize mental translation during live trading.</w:t>
      </w:r>
    </w:p>
    <w:p>
      <w:r>
        <w:t xml:space="preserve"/>
      </w:r>
    </w:p>
    <w:p>
      <w:pPr>
        <w:pStyle w:val="Heading2"/>
      </w:pPr>
      <w:r>
        <w:rPr>
          <w:b/>
          <w:bCs/>
        </w:rPr>
        <w:t xml:space="preserve">2.2 Polymarket US fees</w:t>
      </w:r>
    </w:p>
    <w:p>
      <w:r>
        <w:t xml:space="preserve">Effective April 3, 2026, Polymarket US charges fees per trade: Fee = Θ × C × p × (1 − p), where C is the number of contracts, p is the trade price, and Θ is the fee coefficient. Taker Θ = 0.05; Maker Θ = 0.0125 (credited as rebate). Through April 30, 2026, a promotional 50% taker rebate applies. The Phase 1 artifact fees.json captures these parameters and is the sole source of truth for fee calculations.</w:t>
      </w:r>
    </w:p>
    <w:p>
      <w:r>
        <w:t xml:space="preserve"/>
      </w:r>
    </w:p>
    <w:p>
      <w:r>
        <w:t xml:space="preserve">If the observation window extends past April 30, 2026, the fee-adjusted breakeven threshold will shift and breakeven.json must be re-derived before the test-period data from the post-promo period can be compared against the 58.2% threshold. This is flagged as an open issue in Section 11.</w:t>
      </w:r>
    </w:p>
    <w:p>
      <w:r>
        <w:t xml:space="preserve"/>
      </w:r>
    </w:p>
    <w:p>
      <w:pPr>
        <w:pStyle w:val="Heading2"/>
      </w:pPr>
      <w:r>
        <w:rPr>
          <w:b/>
          <w:bCs/>
        </w:rPr>
        <w:t xml:space="preserve">2.3 What the app lets the operator do</w:t>
      </w:r>
    </w:p>
    <w:p>
      <w:r>
        <w:t xml:space="preserve">The Polymarket US iPhone app exposes four execution actions: place a passive buy (limit order at or below the current ask); place a passive sell (limit order at or above the current bid); cancel a resting order; and sell at market (marketable limit order crossing the spread). Notable absences: no stop-loss, no trailing stop, no one-cancels-other, no conditional triggers, no ability to short.</w:t>
      </w:r>
    </w:p>
    <w:p>
      <w:r>
        <w:t xml:space="preserve"/>
      </w:r>
    </w:p>
    <w:p>
      <w:pPr>
        <w:pStyle w:val="Heading2"/>
      </w:pPr>
      <w:r>
        <w:rPr>
          <w:b/>
          <w:bCs/>
        </w:rPr>
        <w:t xml:space="preserve">2.4 What the passive-only model implies</w:t>
      </w:r>
    </w:p>
    <w:p>
      <w:r>
        <w:t xml:space="preserve">Fill is conditional and cannot be forced on entry. Reaction speed matters less than price placement and patience. Sell-at-market is a release valve on stuck exits. The exit rule in Section 9 specifies when sell-at-market is invoked.</w:t>
      </w:r>
    </w:p>
    <w:p>
      <w:r>
        <w:t xml:space="preserve"/>
      </w:r>
    </w:p>
    <w:p>
      <w:pPr>
        <w:pStyle w:val="Heading2"/>
      </w:pPr>
      <w:r>
        <w:rPr>
          <w:b/>
          <w:bCs/>
        </w:rPr>
        <w:t xml:space="preserve">2.5 The tradeable setup</w:t>
      </w:r>
    </w:p>
    <w:p>
      <w:r>
        <w:t xml:space="preserve">Every trade follows one template: identify a moment when a YES contract is priced below its fair value by a pre-committed margin; place a passive buy order; wait; if filled, immediately place a passive sell at a pre-committed target above entry; wait for the exit; if the exit fills naturally within the pre-committed time limit, take profit; if not, sell at market to exit and log the result.</w:t>
      </w:r>
    </w:p>
    <w:p>
      <w:r>
        <w:t xml:space="preserve"/>
      </w:r>
    </w:p>
    <w:p>
      <w:pPr>
        <w:pStyle w:val="Heading2"/>
      </w:pPr>
      <w:r>
        <w:rPr>
          <w:b/>
          <w:bCs/>
        </w:rPr>
        <w:t xml:space="preserve">2.6 What this implies for analysis</w:t>
      </w:r>
    </w:p>
    <w:p>
      <w:r>
        <w:t xml:space="preserve">Because fill is conditional on both entry and exit, measuring whether a mispricing exists in the archive is not the same as measuring whether a trade against that mispricing would have been profitable. The window-close analysis requires a replay simulator (Phase 6) that reconstructs the full book at tick granularity and answers the conditional question: given a resting buy at price P placed at time T, would the order have filled, would the passive exit have filled within the allowed window, and if not would sell-at-market have saved or sunk the trade.</w:t>
      </w:r>
    </w:p>
    <w:p>
      <w:r>
        <w:t xml:space="preserve"/>
      </w:r>
    </w:p>
    <w:p>
      <w:pPr>
        <w:pStyle w:val="Heading1"/>
      </w:pPr>
      <w:r>
        <w:rPr>
          <w:b/>
          <w:bCs/>
        </w:rPr>
        <w:t xml:space="preserve">3. Thesis</w:t>
      </w:r>
    </w:p>
    <w:p>
      <w:pPr>
        <w:pStyle w:val="Heading2"/>
      </w:pPr>
      <w:r>
        <w:rPr>
          <w:b/>
          <w:bCs/>
        </w:rPr>
        <w:t xml:space="preserve">3.1 The core question</w:t>
      </w:r>
    </w:p>
    <w:p>
      <w:r>
        <w:t xml:space="preserve">The project’s research question is: does data-informed decision-making, supported by an instrument that surfaces fair-price estimates, conviction scores, and exit context, produce measurably better outcomes than the operator’s intuition-based discretionary trading operating without such support?</w:t>
      </w:r>
    </w:p>
    <w:p>
      <w:r>
        <w:t xml:space="preserve"/>
      </w:r>
    </w:p>
    <w:p>
      <w:r>
        <w:t xml:space="preserve">This question is different from asking whether in-play tennis markets exhibit exploitable mispricings. The mispricing question is implicit — the fair-price model must compute something real for the instrument to be useful — but it is not the test. The test is whether the operator, armed with computed context, makes better decisions than the same operator without it. The distinction matters because an operator can improve outcomes without the market being consistently mispriced (by improving exit timing, for example), and a genuinely mispriced market is only useful if the operator can reliably identify and act on the mispricings.</w:t>
      </w:r>
    </w:p>
    <w:p>
      <w:r>
        <w:t xml:space="preserve"/>
      </w:r>
    </w:p>
    <w:p>
      <w:pPr>
        <w:pStyle w:val="Heading2"/>
      </w:pPr>
      <w:r>
        <w:rPr>
          <w:b/>
          <w:bCs/>
        </w:rPr>
        <w:t xml:space="preserve">3.2 Why this question is tractable now</w:t>
      </w:r>
    </w:p>
    <w:p>
      <w:r>
        <w:t xml:space="preserve">The operator has a one-week pre-instrument trading record on Polymarket US in-play tennis markets. That record constitutes a control dataset: a measurement of unaided decision-making performance. The instrument, once built, produces a test dataset under otherwise similar conditions. The comparison of test to control, anchored against the fee-adjusted breakeven threshold of 58.2%, is what the observation window measures.</w:t>
      </w:r>
    </w:p>
    <w:p>
      <w:r>
        <w:t xml:space="preserve"/>
      </w:r>
    </w:p>
    <w:p>
      <w:r>
        <w:t xml:space="preserve">Without the control baseline, the observation window could only ask “does the instrument-supported operator perform above breakeven?” — a question that conflates operator skill, instrument value, and market-structure variance. With the control baseline, the window can ask a more precise question: “does instrument support shift outcomes relative to the same operator’s unaided baseline?” The control dataset is what makes v4’s research question tractable.</w:t>
      </w:r>
    </w:p>
    <w:p>
      <w:r>
        <w:t xml:space="preserve"/>
      </w:r>
    </w:p>
    <w:p>
      <w:pPr>
        <w:pStyle w:val="Heading2"/>
      </w:pPr>
      <w:r>
        <w:rPr>
          <w:b/>
          <w:bCs/>
        </w:rPr>
        <w:t xml:space="preserve">3.3 The two testable hypotheses</w:t>
      </w:r>
    </w:p>
    <w:p>
      <w:r>
        <w:t xml:space="preserve">v4 tests two hypotheses. Both are framed against the operator’s pre-instrument control baseline documented in Section 3.4.</w:t>
      </w:r>
    </w:p>
    <w:p>
      <w:r>
        <w:t xml:space="preserve"/>
      </w:r>
    </w:p>
    <w:p>
      <w:pPr>
        <w:pStyle w:val="Heading3"/>
      </w:pPr>
      <w:r>
        <w:rPr>
          <w:b/>
          <w:bCs/>
        </w:rPr>
        <w:t xml:space="preserve">H1 — Can the swing win rate be improved above breakeven?</w:t>
      </w:r>
    </w:p>
    <w:p>
      <w:r>
        <w:rPr>
          <w:b/>
          <w:bCs/>
        </w:rPr>
        <w:t xml:space="preserve">H₁ (alternative):</w:t>
      </w:r>
      <w:r>
        <w:t xml:space="preserve"> During the observation window, the operator’s effective win rate on swing-strategy contracts will exceed the control-period swing win rate (55.9%) by a margin large enough that the Bayesian posterior probability of the true underlying rate exceeding 58.2% is at least 0.80 under a Beta(1,1) prior.</w:t>
      </w:r>
    </w:p>
    <w:p>
      <w:r>
        <w:t xml:space="preserve"/>
      </w:r>
    </w:p>
    <w:p>
      <w:r>
        <w:rPr>
          <w:b/>
          <w:bCs/>
        </w:rPr>
        <w:t xml:space="preserve">H₀ (null):</w:t>
      </w:r>
      <w:r>
        <w:t xml:space="preserve"> The test-period swing win rate is statistically indistinguishable from the control-period rate, equivalent, or below.</w:t>
      </w:r>
    </w:p>
    <w:p>
      <w:r>
        <w:t xml:space="preserve"/>
      </w:r>
    </w:p>
    <w:p>
      <w:r>
        <w:t xml:space="preserve">The test clears a two-part bar: (1) directional improvement — the test-period win rate exceeds 55.9% by any positive margin; and (2) statistical significance above breakeven — Bayesian posterior P(true rate &gt; 58.2%) ≥ 0.80 under a Beta(1,1) prior. Both parts must be satisfied.</w:t>
      </w:r>
    </w:p>
    <w:p>
      <w:r>
        <w:t xml:space="preserve"/>
      </w:r>
    </w:p>
    <w:p>
      <w:r>
        <w:t xml:space="preserve">Sample-size note: at n=250 swing contracts, H1 has adequate statistical power only for substantial improvements (true rate ≥ 65%). A test-period win rate between roughly 59% and 63% at n=250 constitutes an ambiguous result — directionally positive but not conclusively above breakeven — warranting a second observation window rather than a premature pass/fail verdict. Intermediate rates (n &lt; 100) must be treated as directional-only.</w:t>
      </w:r>
    </w:p>
    <w:p>
      <w:r>
        <w:t xml:space="preserve"/>
      </w:r>
    </w:p>
    <w:p>
      <w:pPr>
        <w:pStyle w:val="Heading3"/>
      </w:pPr>
      <w:r>
        <w:rPr>
          <w:b/>
          <w:bCs/>
        </w:rPr>
        <w:t xml:space="preserve">H2 — Can the payoff asymmetry be improved?</w:t>
      </w:r>
    </w:p>
    <w:p>
      <w:r>
        <w:rPr>
          <w:b/>
          <w:bCs/>
        </w:rPr>
        <w:t xml:space="preserve">H₂ (alternative):</w:t>
      </w:r>
      <w:r>
        <w:t xml:space="preserve"> During the observation window, the win/loss magnitude ratio on swing-strategy contracts will exceed the control-period baseline of 1.79× (mean winner +$50.63, mean loser −$28.30) by a margin reaching at least 2.00×.</w:t>
      </w:r>
    </w:p>
    <w:p>
      <w:r>
        <w:t xml:space="preserve"/>
      </w:r>
    </w:p>
    <w:p>
      <w:r>
        <w:rPr>
          <w:b/>
          <w:bCs/>
        </w:rPr>
        <w:t xml:space="preserve">H₀ (null):</w:t>
      </w:r>
      <w:r>
        <w:t xml:space="preserve"> Per-win and per-loss magnitudes are statistically indistinguishable from control.</w:t>
      </w:r>
    </w:p>
    <w:p>
      <w:r>
        <w:t xml:space="preserve"/>
      </w:r>
    </w:p>
    <w:p>
      <w:r>
        <w:t xml:space="preserve">H2 is a secondary criterion and does not carry a formal statistical significance requirement. Its role is to identify how any H1 improvement was achieved, or to identify improvement the instrument delivered even if H1 did not pass. The 2.00× threshold represents approximately 12% improvement over the 1.79× baseline. Evidence between 1.79× and 2.00× is directionally positive but below the defined threshold.</w:t>
      </w:r>
    </w:p>
    <w:p>
      <w:r>
        <w:t xml:space="preserve"/>
      </w:r>
    </w:p>
    <w:p>
      <w:r>
        <w:t xml:space="preserve">H2 is most directly connected to the exit-context instrument feature (Section 4.7). If exit-context surfacing is useful, H2 should improve. If H2 does not improve, the feature did not influence outcomes in this window, though this does not mean it is discarded.</w:t>
      </w:r>
    </w:p>
    <w:p>
      <w:r>
        <w:t xml:space="preserve"/>
      </w:r>
    </w:p>
    <w:p>
      <w:pPr>
        <w:pStyle w:val="Heading2"/>
      </w:pPr>
      <w:r>
        <w:rPr>
          <w:b/>
          <w:bCs/>
        </w:rPr>
        <w:t xml:space="preserve">3.4 How the hypotheses are tested</w:t>
      </w:r>
    </w:p>
    <w:p>
      <w:r>
        <w:t xml:space="preserve">Primary criterion: H1 evaluated at window close on the full swing-strategy subset. Section 9 specifies the decision rules.</w:t>
      </w:r>
    </w:p>
    <w:p>
      <w:r>
        <w:t xml:space="preserve"/>
      </w:r>
    </w:p>
    <w:p>
      <w:r>
        <w:t xml:space="preserve">Secondary informational criteria (reported at window close, not gating):</w:t>
      </w:r>
    </w:p>
    <w:p>
      <w:pPr>
        <w:pStyle w:val="ListParagraph"/>
        <w:numPr>
          <w:ilvl w:val="0"/>
          <w:numId w:val="2"/>
        </w:numPr>
      </w:pPr>
      <w:r>
        <w:t xml:space="preserve">Change in mean P&amp;L per winning and losing swing contract</w:t>
      </w:r>
    </w:p>
    <w:p>
      <w:pPr>
        <w:pStyle w:val="ListParagraph"/>
        <w:numPr>
          <w:ilvl w:val="0"/>
          <w:numId w:val="2"/>
        </w:numPr>
      </w:pPr>
      <w:r>
        <w:t xml:space="preserve">Win/loss magnitude ratio (H2 directional criterion)</w:t>
      </w:r>
    </w:p>
    <w:p>
      <w:pPr>
        <w:pStyle w:val="ListParagraph"/>
        <w:numPr>
          <w:ilvl w:val="0"/>
          <w:numId w:val="2"/>
        </w:numPr>
      </w:pPr>
      <w:r>
        <w:t xml:space="preserve">Correlation between operator stake and instrument conviction score</w:t>
      </w:r>
    </w:p>
    <w:p>
      <w:pPr>
        <w:pStyle w:val="ListParagraph"/>
        <w:numPr>
          <w:ilvl w:val="0"/>
          <w:numId w:val="2"/>
        </w:numPr>
      </w:pPr>
      <w:r>
        <w:t xml:space="preserve">Correlation between conviction score and outcome</w:t>
      </w:r>
    </w:p>
    <w:p>
      <w:pPr>
        <w:pStyle w:val="ListParagraph"/>
        <w:numPr>
          <w:ilvl w:val="0"/>
          <w:numId w:val="2"/>
        </w:numPr>
      </w:pPr>
      <w:r>
        <w:t xml:space="preserve">Proportion of trades where operator adjusted exit orders during the trade</w:t>
      </w:r>
    </w:p>
    <w:p>
      <w:pPr>
        <w:pStyle w:val="ListParagraph"/>
        <w:numPr>
          <w:ilvl w:val="0"/>
          <w:numId w:val="2"/>
        </w:numPr>
      </w:pPr>
      <w:r>
        <w:t xml:space="preserve">Shift in swing-vs-hold allocation (if hold volume decreases materially, this is a finding in itself)</w:t>
      </w:r>
    </w:p>
    <w:p>
      <w:r>
        <w:t xml:space="preserve"/>
      </w:r>
    </w:p>
    <w:p>
      <w:r>
        <w:t xml:space="preserve">Composite outcome interpretation at window close: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H1</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H2</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Interpretation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Primary thesis supported and payoff profile improved. Instrument delivers on both dimensions. Proceed to scaling and refinement.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Instrument improves hit rate but not payoff shape. Selection support working; exit-context features may need rework.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Instrument does not improve hit rate but improves payoff magnitudes. Edge remains asymmetry-driven but better-amplified. Informative, not conclusive.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Null result. Instrument did not deliver measurable improvement over intuition-only baseline. v5 or project-pause decision required.</w:t>
            </w:r>
          </w:p>
        </w:tc>
      </w:tr>
    </w:tbl>
    <w:p>
      <w:r>
        <w:t xml:space="preserve"/>
      </w:r>
    </w:p>
    <w:p>
      <w:pPr>
        <w:pStyle w:val="Heading2"/>
      </w:pPr>
      <w:r>
        <w:rPr>
          <w:b/>
          <w:bCs/>
        </w:rPr>
        <w:t xml:space="preserve">3.5 What a negative result teaches</w:t>
      </w:r>
    </w:p>
    <w:p>
      <w:r>
        <w:t xml:space="preserve">If both H1 and H2 are not supported, the project learns that: the instrument did not deliver measurable improvement at this sample size; the operator’s unaided decisions were not improved by the addition of computed context in this window; and further investment in this instrument design is not justified without a substantial change to the approach. A null result is a valid and informative outcome. The observation window is designed to produce a decision, not a confirmation.</w:t>
      </w:r>
    </w:p>
    <w:p>
      <w:r>
        <w:t xml:space="preserve"/>
      </w:r>
    </w:p>
    <w:p>
      <w:r>
        <w:t xml:space="preserve">If H1 is not supported but H2 is, the project learns that the instrument’s exit-context surfacing adds value even when it does not improve entry selection — suggesting that the hit-rate improvement mechanism is weaker than the exit-management mechanism, and that refinement work should prioritize exit support over entry signal quality.</w:t>
      </w:r>
    </w:p>
    <w:p>
      <w:r>
        <w:t xml:space="preserve"/>
      </w:r>
    </w:p>
    <w:p>
      <w:pPr>
        <w:pStyle w:val="Heading2"/>
      </w:pPr>
      <w:r>
        <w:rPr>
          <w:b/>
          <w:bCs/>
        </w:rPr>
        <w:t xml:space="preserve">3.6 What these hypotheses do not test</w:t>
      </w:r>
    </w:p>
    <w:p>
      <w:r>
        <w:t xml:space="preserve">The hypothesis set is deliberately narrow. v4 does not test: whether the operator’s intuition is skilled or lucky; whether the conviction score is calibrated (deferred to post-window analysis); whether specific instrument features are individually the cause of any observed improvement; whether the instrument’s value generalizes beyond this operator; or whether performance is sustainable beyond the window. These are candidates for post-v4 follow-on work.</w:t>
      </w:r>
    </w:p>
    <w:p>
      <w:r>
        <w:t xml:space="preserve"/>
      </w:r>
    </w:p>
    <w:p>
      <w:pPr>
        <w:pStyle w:val="Heading2"/>
      </w:pPr>
      <w:r>
        <w:rPr>
          <w:b/>
          <w:bCs/>
        </w:rPr>
        <w:t xml:space="preserve">3.7 Control Baseline</w:t>
      </w:r>
    </w:p>
    <w:p>
      <w:r>
        <w:t xml:space="preserve">The following is a self-contained summary of the operator’s pre-instrument trading performance. It constitutes the control dataset for v4’s observation window comparison. Full source material (transactions.py, compute_baseline.py, baseline_summary.json) is committed to the repository under baseline/.</w:t>
      </w:r>
    </w:p>
    <w:p>
      <w:r>
        <w:t xml:space="preserve"/>
      </w:r>
    </w:p>
    <w:p>
      <w:pPr>
        <w:pStyle w:val="Heading3"/>
      </w:pPr>
      <w:r>
        <w:rPr>
          <w:b/>
          <w:bCs/>
        </w:rPr>
        <w:t xml:space="preserve">Dataset</w:t>
      </w:r>
    </w:p>
    <w:p>
      <w:r>
        <w:t xml:space="preserve">71 screenshots of the operator’s Polymarket US iPhone app History tab, captured on 2026-04-18, covering approximately 8 days of trading activity. Transcribed into 502 cash events. All figures below are fee-net (Polymarket app displays post-fee values). STENAP vs TRISCH permanently excluded as a market-making outlier not representative of routine discretionary trading.</w:t>
      </w:r>
    </w:p>
    <w:p>
      <w:r>
        <w:t xml:space="preserve"/>
      </w:r>
    </w:p>
    <w:p>
      <w:pPr>
        <w:pStyle w:val="Heading3"/>
      </w:pPr>
      <w:r>
        <w:rPr>
          <w:b/>
          <w:bCs/>
        </w:rPr>
        <w:t xml:space="preserve">Headline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2000"/>
        <w:gridCol w:w="1500"/>
        <w:gridCol w:w="1200"/>
        <w:gridCol w:w="1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Subset</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Win Rate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vs Breakeven</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ROI</w:t>
            </w:r>
          </w:p>
        </w:tc>
        <w:tc>
          <w:tcPr>
            <w:tcW w:type="dxa" w:w="1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Magnitude Ratio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Overall tennis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131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45.0% (59W/72L)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−13.2pp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1.75×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Swing strategy</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68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55.9% (38W/30L)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−2.3pp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+14.3%</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1.79×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Hold strategy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33.3% (21W/42L)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−24.9pp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−3.3%</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1.82×</w:t>
            </w:r>
          </w:p>
        </w:tc>
      </w:tr>
    </w:tbl>
    <w:p>
      <w:r>
        <w:t xml:space="preserve"/>
      </w:r>
    </w:p>
    <w:p>
      <w:r>
        <w:t xml:space="preserve">Swing magnitude profile: mean winner +$50.63, mean loser −$28.30, ratio 1.79×. Reconciliation: 38 × $50.63 − 30 × $28.30 = $1,074.86 ≈ stated total P&amp;L of $1,075.</w:t>
      </w:r>
    </w:p>
    <w:p>
      <w:r>
        <w:t xml:space="preserve"/>
      </w:r>
    </w:p>
    <w:p>
      <w:pPr>
        <w:pStyle w:val="Heading3"/>
      </w:pPr>
      <w:r>
        <w:rPr>
          <w:b/>
          <w:bCs/>
        </w:rPr>
        <w:t xml:space="preserve">How to read these numbers</w:t>
      </w:r>
    </w:p>
    <w:p>
      <w:r>
        <w:t xml:space="preserve">The operator’s overall tennis activity produced positive ROI (+8.5%) despite a sub-breakeven hit rate (45.0%). This is possible because the magnitude ratio is approximately 1.75× — winning contracts pay roughly 1.75 times more than losing contracts cost. The positive ROI is payoff-asymmetry-driven, not hit-rate-driven. An edge of this character is fragile: it requires continuing to win large when right. If the magnitude ratio compresses during a cold stretch, the sub-breakeven hit rate produces negative returns.</w:t>
      </w:r>
    </w:p>
    <w:p>
      <w:r>
        <w:t xml:space="preserve"/>
      </w:r>
    </w:p>
    <w:p>
      <w:r>
        <w:t xml:space="preserve">The swing-vs-hold split is the strongest signal in the control dataset. The swing subset (55.9% win rate) outperforms hold (33.3%) by 22.6 percentage points. Critically, the magnitude ratio is nearly identical across both subsets (1.79× vs 1.82×), which means swing’s outperformance is driven by hit rate, not by winning bigger or losing smaller. The most plausible interpretation: active exit management converts would-be losers (if held) into winners by capturing favorable price movement before it reverts. This is the mechanism Section 4.7 (Exit Context) is designed to support.</w:t>
      </w:r>
    </w:p>
    <w:p>
      <w:r>
        <w:t xml:space="preserve"/>
      </w:r>
    </w:p>
    <w:p>
      <w:pPr>
        <w:pStyle w:val="Heading3"/>
      </w:pPr>
      <w:r>
        <w:rPr>
          <w:b/>
          <w:bCs/>
        </w:rPr>
        <w:t xml:space="preserve">Sizing patterns</w:t>
      </w:r>
    </w:p>
    <w:p>
      <w:r>
        <w:t xml:space="preserve">The operator’s position sizing follows three behavioral patterns: Pattern A (stakes under $25, deep-dip opportunistic buys at extreme-low prices); Pattern B ($25–$200, standard conviction bets, the bulk of volume); Pattern C (stakes above $500, structural near-certainty bets when game-state makes loss nearly impossible, 4 of 4 wins in the control dataset). Stake size correlates positively with both P&amp;L (+0.314 Pearson) and win-binary (+0.244 Pearson), indicating the operator’s sizing carries directional information.</w:t>
      </w:r>
    </w:p>
    <w:p>
      <w:r>
        <w:t xml:space="preserve"/>
      </w:r>
    </w:p>
    <w:p>
      <w:pPr>
        <w:pStyle w:val="Heading3"/>
      </w:pPr>
      <w:r>
        <w:rPr>
          <w:b/>
          <w:bCs/>
        </w:rPr>
        <w:t xml:space="preserve">Limitations</w:t>
      </w:r>
    </w:p>
    <w:p>
      <w:r>
        <w:t xml:space="preserve">131 contracts over 8 days is thin for statistical claims. The swing-subset binomial test p-value of 0.697 at the 58.2% null means the 55.9% observed rate is fully consistent with a true rate anywhere from 50% to 62%. Single operator, single week. Retrospective screenshot transcription introduces per-contract noise of a few dollars (aggregate reconciliation gap: ~1.7% of gross volume, $268 on $991.50 account balance). No game-state data in the control — conviction-score validation must be done forward-looking during the observation window.</w:t>
      </w:r>
    </w:p>
    <w:p>
      <w:r>
        <w:t xml:space="preserve"/>
      </w:r>
    </w:p>
    <w:p>
      <w:pPr>
        <w:pStyle w:val="Heading1"/>
      </w:pPr>
      <w:r>
        <w:rPr>
          <w:b/>
          <w:bCs/>
        </w:rPr>
        <w:t xml:space="preserve">4. Fair-Price Model</w:t>
      </w:r>
    </w:p>
    <w:p>
      <w:r>
        <w:t xml:space="preserve">The fair-price model converts a pre-match price and a sequence of score events into a running fair value for each YES contract during the match. It is the core analytical object of the project. This section develops the model from first principles.</w:t>
      </w:r>
    </w:p>
    <w:p>
      <w:r>
        <w:t xml:space="preserve"/>
      </w:r>
    </w:p>
    <w:p>
      <w:pPr>
        <w:pStyle w:val="Heading2"/>
      </w:pPr>
      <w:r>
        <w:rPr>
          <w:b/>
          <w:bCs/>
        </w:rPr>
        <w:t xml:space="preserve">4.1 The pre-match handicap</w:t>
      </w:r>
    </w:p>
    <w:p>
      <w:r>
        <w:t xml:space="preserve">Each match has two YES contracts, one per player. The pre-match price of each YES contract on Polymarket US, captured just before the match transitions from scheduled to in-play, encodes the market’s best estimate of that player’s pre-match probability of winning the match. This pair of prices is the handicap, and it is fixed for the duration of the match. A last-5-tick median is used; handicaps where the most recent of those ticks is older than 30 minutes are marked stale and excluded from signal evaluation.</w:t>
      </w:r>
    </w:p>
    <w:p>
      <w:r>
        <w:t xml:space="preserve"/>
      </w:r>
    </w:p>
    <w:p>
      <w:pPr>
        <w:pStyle w:val="Heading2"/>
      </w:pPr>
      <w:r>
        <w:rPr>
          <w:b/>
          <w:bCs/>
        </w:rPr>
        <w:t xml:space="preserve">4.2 Sackmann P(S) tables and the score-state delta</w:t>
      </w:r>
    </w:p>
    <w:p>
      <w:r>
        <w:t xml:space="preserve">The Sackmann point-by-point archives provide empirical distributions of match-win probability across tennis score states. For every distinct score state (sets won, games won, server, match format), the archives yield P(S) — the historical fraction of matches in that state that were won by the player in that state.</w:t>
      </w:r>
    </w:p>
    <w:p>
      <w:r>
        <w:t xml:space="preserve"/>
      </w:r>
    </w:p>
    <w:p>
      <w:r>
        <w:t xml:space="preserve">Per Decision D-006 (H-005, 2026-04-18): the public Sports WebSocket emits game-boundary transitions only — one message per game won, not per point played. This was verified against two live Challenger matches on 2026-04-18. Accordingly, the signal model operates at game-level granularity. The state tuple for P(S) lookup is:</w:t>
      </w:r>
    </w:p>
    <w:p>
      <w:r>
        <w:t xml:space="preserve"/>
      </w:r>
    </w:p>
    <w:p>
      <w:pPr>
        <w:jc w:val="center"/>
      </w:pPr>
      <w:r>
        <w:rPr>
          <w:i/>
          <w:iCs/>
          <w:sz w:val="22"/>
          <w:szCs w:val="22"/>
        </w:rPr>
        <w:t xml:space="preserve">(sets_won_a, sets_won_b, games_won_a, games_won_b, server)</w:t>
      </w:r>
    </w:p>
    <w:p>
      <w:r>
        <w:t xml:space="preserve"/>
      </w:r>
    </w:p>
    <w:p>
      <w:r>
        <w:t xml:space="preserve">Point-level dimensions are not used. Tiebreak states are handled with an in_tiebreak boolean and separate tb_points_a/b counters; P(S) lookup distinguishes tiebreak states from game-play states.</w:t>
      </w:r>
    </w:p>
    <w:p>
      <w:r>
        <w:t xml:space="preserve"/>
      </w:r>
    </w:p>
    <w:p>
      <w:r>
        <w:t xml:space="preserve">Three Parquet tables are built and committed to the Render persistent disk (as of H-005):</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Table</w:t>
            </w:r>
          </w:p>
        </w:tc>
        <w:tc>
          <w:tcPr>
            <w:tcW w:type="dxa" w:w="2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States</w:t>
            </w:r>
          </w:p>
        </w:tc>
        <w:tc>
          <w:tcPr>
            <w:tcW w:type="dxa" w:w="2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Transitions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P_S_best_of_3_mens.parquet</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15,645</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4,445,240</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P_S_best_of_3_womens.parquet</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12,907</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1,621,923</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P_S_best_of_5_mens.parquet</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226</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31,343</w:t>
            </w:r>
          </w:p>
        </w:tc>
      </w:tr>
    </w:tbl>
    <w:p>
      <w:r>
        <w:t xml:space="preserve"/>
      </w:r>
    </w:p>
    <w:p>
      <w:r>
        <w:t xml:space="preserve">The best_of_5 table is sparse (179 slam archive matches matched); Bayesian shrinkage fallback covers rare states.</w:t>
      </w:r>
    </w:p>
    <w:p>
      <w:r>
        <w:t xml:space="preserve"/>
      </w:r>
    </w:p>
    <w:p>
      <w:pPr>
        <w:pStyle w:val="Heading2"/>
      </w:pPr>
      <w:r>
        <w:rPr>
          <w:b/>
          <w:bCs/>
        </w:rPr>
        <w:t xml:space="preserve">4.3 Log-odds combination</w:t>
      </w:r>
    </w:p>
    <w:p>
      <w:r>
        <w:t xml:space="preserve">Fair price for player A’s YES contract at score state S is derived by combining the pre-match handicap with the Sackmann score-state delta in log-odds space:</w:t>
      </w:r>
    </w:p>
    <w:p>
      <w:r>
        <w:t xml:space="preserve"/>
      </w:r>
    </w:p>
    <w:p>
      <w:pPr>
        <w:jc w:val="center"/>
      </w:pPr>
      <w:r>
        <w:rPr>
          <w:i/>
          <w:iCs/>
          <w:sz w:val="22"/>
          <w:szCs w:val="22"/>
        </w:rPr>
        <w:t xml:space="preserve">log-odds(fair_A) = log-odds(handicap_A) + [log-odds(P_S(A, state)) − log-odds(P_S(A, start))]</w:t>
      </w:r>
    </w:p>
    <w:p>
      <w:r>
        <w:t xml:space="preserve"/>
      </w:r>
    </w:p>
    <w:p>
      <w:r>
        <w:t xml:space="preserve">The subtracted term is the log-odds of match-win probability at the match’s starting state (the “blank slate” before any games are played). This cancels out any systematic bias in the Sackmann tables and produces a delta that reflects only the statistical impact of the score progression. The combined log-odds is converted back to probability via the logistic function.</w:t>
      </w:r>
    </w:p>
    <w:p>
      <w:r>
        <w:t xml:space="preserve"/>
      </w:r>
    </w:p>
    <w:p>
      <w:pPr>
        <w:pStyle w:val="Heading2"/>
      </w:pPr>
      <w:r>
        <w:rPr>
          <w:b/>
          <w:bCs/>
        </w:rPr>
        <w:t xml:space="preserve">4.4 Signal qualification</w:t>
      </w:r>
    </w:p>
    <w:p>
      <w:r>
        <w:t xml:space="preserve">A signal is a moment when the observed market price falls below fair value by at least the pre-committed undershoot threshold defined in signal_thresholds.json. A qualifying signal must additionally pass two filters:</w:t>
      </w:r>
    </w:p>
    <w:p>
      <w:r>
        <w:t xml:space="preserve"/>
      </w:r>
    </w:p>
    <w:p>
      <w:pPr>
        <w:pStyle w:val="ListParagraph"/>
        <w:numPr>
          <w:ilvl w:val="0"/>
          <w:numId w:val="2"/>
        </w:numPr>
      </w:pPr>
      <w:r>
        <w:t xml:space="preserve">Recent taker activity: a last_trade_price event must be present in the CLOB stream within 30 seconds preceding the signal, indicating aggressive flow is present rather than pure maker repositioning.</w:t>
      </w:r>
    </w:p>
    <w:p>
      <w:pPr>
        <w:pStyle w:val="ListParagraph"/>
        <w:numPr>
          <w:ilvl w:val="0"/>
          <w:numId w:val="2"/>
        </w:numPr>
      </w:pPr>
      <w:r>
        <w:t xml:space="preserve">Liquidity check: resting size at the best ask must meet the minimum defined in signal_thresholds.json.</w:t>
      </w:r>
    </w:p>
    <w:p>
      <w:r>
        <w:t xml:space="preserve"/>
      </w:r>
    </w:p>
    <w:p>
      <w:r>
        <w:t xml:space="preserve">The recent-taker-activity filter is specifically designed to distinguish genuine mispricings from market-maker repositioning artifacts of the Maker Rebates Program. Both filters are applied before a signal is surfaced to the dashboard.</w:t>
      </w:r>
    </w:p>
    <w:p>
      <w:r>
        <w:t xml:space="preserve"/>
      </w:r>
    </w:p>
    <w:p>
      <w:pPr>
        <w:pStyle w:val="Heading2"/>
      </w:pPr>
      <w:r>
        <w:rPr>
          <w:b/>
          <w:bCs/>
        </w:rPr>
        <w:t xml:space="preserve">4.5 Running fair-price trajectory</w:t>
      </w:r>
    </w:p>
    <w:p>
      <w:r>
        <w:t xml:space="preserve">The fair price is recomputed after every score event (game boundary, per D-006). The dashboard displays the running trajectory for each active match alongside the current observed price, producing a visual gap that the operator can interpret as the signal’s depth and recency.</w:t>
      </w:r>
    </w:p>
    <w:p>
      <w:r>
        <w:t xml:space="preserve"/>
      </w:r>
    </w:p>
    <w:p>
      <w:pPr>
        <w:pStyle w:val="Heading2"/>
      </w:pPr>
      <w:r>
        <w:rPr>
          <w:b/>
          <w:bCs/>
        </w:rPr>
        <w:t xml:space="preserve">4.6 Conviction Scoring</w:t>
      </w:r>
    </w:p>
    <w:p>
      <w:r>
        <w:t xml:space="preserve">The instrument computes a conviction score alongside the fair-price estimate at each signal. The conviction score is an instrument output designed to inform the operator’s sizing decision; it does not dictate stake size and does not override operator judgment.</w:t>
      </w:r>
    </w:p>
    <w:p>
      <w:r>
        <w:t xml:space="preserve"/>
      </w:r>
    </w:p>
    <w:p>
      <w:r>
        <w:t xml:space="preserve">The conviction score is a discrete four-level scale (Low / Medium / High / Extreme) derived from four components:</w:t>
      </w:r>
    </w:p>
    <w:p>
      <w:r>
        <w:t xml:space="preserve"/>
      </w:r>
    </w:p>
    <w:p>
      <w:pPr>
        <w:pStyle w:val="ListParagraph"/>
        <w:numPr>
          <w:ilvl w:val="0"/>
          <w:numId w:val="2"/>
        </w:numPr>
      </w:pPr>
      <w:r>
        <w:t xml:space="preserve">Sackmann sample coverage at the current state: how many historical matches underlie the P(S) estimate. Higher coverage → higher confidence in the delta.</w:t>
      </w:r>
    </w:p>
    <w:p>
      <w:pPr>
        <w:pStyle w:val="ListParagraph"/>
        <w:numPr>
          <w:ilvl w:val="0"/>
          <w:numId w:val="2"/>
        </w:numPr>
      </w:pPr>
      <w:r>
        <w:t xml:space="preserve">Market spread and resting liquidity: tighter spread and larger resting size at the ask → higher fillability → higher conviction.</w:t>
      </w:r>
    </w:p>
    <w:p>
      <w:pPr>
        <w:pStyle w:val="ListParagraph"/>
        <w:numPr>
          <w:ilvl w:val="0"/>
          <w:numId w:val="2"/>
        </w:numPr>
      </w:pPr>
      <w:r>
        <w:t xml:space="preserve">Undershoot magnitude: how far below fair the observed price is, expressed as a fraction of the pre-committed threshold. Deeper undershoot → higher conviction.</w:t>
      </w:r>
    </w:p>
    <w:p>
      <w:pPr>
        <w:pStyle w:val="ListParagraph"/>
        <w:numPr>
          <w:ilvl w:val="0"/>
          <w:numId w:val="2"/>
        </w:numPr>
      </w:pPr>
      <w:r>
        <w:t xml:space="preserve">Price extremity: prices near 0 or near 1 are penalized. A fair-price estimate of 0.92 is less reliable than one at 0.55 because small errors in the log-odds combination produce large absolute errors near the extremes.</w:t>
      </w:r>
    </w:p>
    <w:p>
      <w:r>
        <w:t xml:space="preserve"/>
      </w:r>
    </w:p>
    <w:p>
      <w:r>
        <w:t xml:space="preserve">The conviction score is logged into the manual-trade envelope at entry alongside the operator’s chosen stake and the computed fair price. Conviction-score validation — whether the score actually predicts outcome — is deferred to post-window analysis and is not a v4 pass/fail criterion. The score is an instrument output, not a gating variable.</w:t>
      </w:r>
    </w:p>
    <w:p>
      <w:r>
        <w:t xml:space="preserve"/>
      </w:r>
    </w:p>
    <w:p>
      <w:r>
        <w:t xml:space="preserve">Both Section 4.6 (Conviction Scoring) and Section 4.7 (Exit Context) ship together at Phase 5. They are parallel instrument features drawing from the same fair-price computation.</w:t>
      </w:r>
    </w:p>
    <w:p>
      <w:r>
        <w:t xml:space="preserve"/>
      </w:r>
    </w:p>
    <w:p>
      <w:pPr>
        <w:pStyle w:val="Heading2"/>
      </w:pPr>
      <w:r>
        <w:rPr>
          <w:b/>
          <w:bCs/>
        </w:rPr>
        <w:t xml:space="preserve">4.7 Exit Context</w:t>
      </w:r>
    </w:p>
    <w:p>
      <w:r>
        <w:t xml:space="preserve">At the moment the operator is considering an exit decision — whether to let a passive sell ride, adjust the target, or invoke sell-at-market — the instrument surfaces a context panel containing:</w:t>
      </w:r>
    </w:p>
    <w:p>
      <w:r>
        <w:t xml:space="preserve"/>
      </w:r>
    </w:p>
    <w:p>
      <w:pPr>
        <w:pStyle w:val="ListParagraph"/>
        <w:numPr>
          <w:ilvl w:val="0"/>
          <w:numId w:val="2"/>
        </w:numPr>
      </w:pPr>
      <w:r>
        <w:t xml:space="preserve">Current set state and games within set: allows the operator to assess how much match-structure remains and whether an exit is structurally justified.</w:t>
      </w:r>
    </w:p>
    <w:p>
      <w:pPr>
        <w:pStyle w:val="ListParagraph"/>
        <w:numPr>
          <w:ilvl w:val="0"/>
          <w:numId w:val="2"/>
        </w:numPr>
      </w:pPr>
      <w:r>
        <w:t xml:space="preserve">Player ranking differential: contextualizes the score relative to pre-match expectations.</w:t>
      </w:r>
    </w:p>
    <w:p>
      <w:pPr>
        <w:pStyle w:val="ListParagraph"/>
        <w:numPr>
          <w:ilvl w:val="0"/>
          <w:numId w:val="2"/>
        </w:numPr>
      </w:pPr>
      <w:r>
        <w:t xml:space="preserve">Recent fair-price trajectory: the last N game-state transitions and the corresponding fair-price evolution, showing whether fair value is converging toward or diverging from the observed price.</w:t>
      </w:r>
    </w:p>
    <w:p>
      <w:pPr>
        <w:pStyle w:val="ListParagraph"/>
        <w:numPr>
          <w:ilvl w:val="0"/>
          <w:numId w:val="2"/>
        </w:numPr>
      </w:pPr>
      <w:r>
        <w:t xml:space="preserve">Current price relative to entry: the operator’s unrealized gain or loss at the observed bid.</w:t>
      </w:r>
    </w:p>
    <w:p>
      <w:pPr>
        <w:pStyle w:val="ListParagraph"/>
        <w:numPr>
          <w:ilvl w:val="0"/>
          <w:numId w:val="2"/>
        </w:numPr>
      </w:pPr>
      <w:r>
        <w:t xml:space="preserve">Price extremity warning: a flag when the observed price exceeds 90¢. At these levels, downside risk is asymmetric and the cost of a failed passive exit is higher.</w:t>
      </w:r>
    </w:p>
    <w:p>
      <w:r>
        <w:t xml:space="preserve"/>
      </w:r>
    </w:p>
    <w:p>
      <w:r>
        <w:t xml:space="preserve">The instrument does not auto-modify open orders. It does not compute an exit recommendation. The operator retains full discretion over when and how to adjust exits. The exit-context panel is informational infrastructure, not automation.</w:t>
      </w:r>
    </w:p>
    <w:p>
      <w:r>
        <w:t xml:space="preserve"/>
      </w:r>
    </w:p>
    <w:p>
      <w:r>
        <w:t xml:space="preserve">The rationale for this design comes directly from the control baseline (Section 3.4): the swing subset’s outperformance over the hold subset is driven by hit rate rather than magnitude, and the most plausible mechanism is active exit management — the operator captures favorable price movement before it reverts. Making that management better-informed is the goal. Making it automated would remove the operator from the loop, which the v4 research question requires keeping in place.</w:t>
      </w:r>
    </w:p>
    <w:p>
      <w:r>
        <w:t xml:space="preserve"/>
      </w:r>
    </w:p>
    <w:p>
      <w:pPr>
        <w:pStyle w:val="Heading1"/>
      </w:pPr>
      <w:r>
        <w:rPr>
          <w:b/>
          <w:bCs/>
        </w:rPr>
        <w:t xml:space="preserve">5. Data Architecture</w:t>
      </w:r>
    </w:p>
    <w:p>
      <w:r>
        <w:t xml:space="preserve">This section specifies the capture envelope structure, storage layout, and post-processing pipeline. These specifications are unchanged from v3. One addition: the conviction score is logged into the manual-trade envelope alongside existing fields.</w:t>
      </w:r>
    </w:p>
    <w:p>
      <w:r>
        <w:t xml:space="preserve"/>
      </w:r>
    </w:p>
    <w:p>
      <w:pPr>
        <w:pStyle w:val="Heading2"/>
      </w:pPr>
      <w:r>
        <w:rPr>
          <w:b/>
          <w:bCs/>
        </w:rPr>
        <w:t xml:space="preserve">5.1 Capture envelope</w:t>
      </w:r>
    </w:p>
    <w:p>
      <w:r>
        <w:t xml:space="preserve">Every CLOB tick and every Sports WebSocket message is written to a JSONL archive as a timestamped envelope. Each envelope contains: a wall-clock timestamp (UTC ISO-8601, millisecond precision); the raw message payload; the match identity (Polymarket asset ID and Sports WS game ID where applicable); the current regime flag (pre-match / in-play); and a sequence number within the session.</w:t>
      </w:r>
    </w:p>
    <w:p>
      <w:r>
        <w:t xml:space="preserve"/>
      </w:r>
    </w:p>
    <w:p>
      <w:pPr>
        <w:pStyle w:val="Heading2"/>
      </w:pPr>
      <w:r>
        <w:rPr>
          <w:b/>
          <w:bCs/>
        </w:rPr>
        <w:t xml:space="preserve">5.2 Match metadata</w:t>
      </w:r>
    </w:p>
    <w:p>
      <w:r>
        <w:t xml:space="preserve">Each match has a meta.json file written at discovery time containing: player names, Polymarket asset IDs, Sports WS game ID, tournament name, surface, round, format (best-of-3 or best-of-5), pre-match handicap (last-5-tick median with timestamp of most recent tick), and a stale-handicap flag. First-server identification is recorded in meta.json on the first Sports WS message with live==true, with an explicit flag for downstream validation.</w:t>
      </w:r>
    </w:p>
    <w:p>
      <w:r>
        <w:t xml:space="preserve"/>
      </w:r>
    </w:p>
    <w:p>
      <w:pPr>
        <w:pStyle w:val="Heading2"/>
      </w:pPr>
      <w:r>
        <w:rPr>
          <w:b/>
          <w:bCs/>
        </w:rPr>
        <w:t xml:space="preserve">5.3 Manual-trade envelope</w:t>
      </w:r>
    </w:p>
    <w:p>
      <w:r>
        <w:t xml:space="preserve">Every operator trade action is logged through the dashboard as a manual-trade envelope. Each envelope contains: handoff intent timestamp; asset ID; direction (buy/sell/cancel/sell-at-market); price; quantity; the instrument’s fair-price estimate at the moment of the action; the instrument’s conviction score at the moment of entry (new in v4); the current score state; and an app_displayed field capturing what price and quantity the Polymarket US iPhone app was displaying at the moment of the decision.</w:t>
      </w:r>
    </w:p>
    <w:p>
      <w:r>
        <w:t xml:space="preserve"/>
      </w:r>
    </w:p>
    <w:p>
      <w:r>
        <w:t xml:space="preserve">Intent-first logging: the envelope is written at the moment of intent (before the operator taps the app), not at fill confirmation. Fill confirmation is logged as a separate event.</w:t>
      </w:r>
    </w:p>
    <w:p>
      <w:r>
        <w:t xml:space="preserve"/>
      </w:r>
    </w:p>
    <w:p>
      <w:pPr>
        <w:pStyle w:val="Heading2"/>
      </w:pPr>
      <w:r>
        <w:rPr>
          <w:b/>
          <w:bCs/>
        </w:rPr>
        <w:t xml:space="preserve">5.4 CLOB pool management</w:t>
      </w:r>
    </w:p>
    <w:p>
      <w:r>
        <w:t xml:space="preserve">The capture worker maintains a pool of CLOB WebSocket connections, one per active match. Connections are recycled proactively every 15 minutes regardless of observed health, and a 90-second liveness probe backstops silent stalls. Pool size is bounded by the soft 150-asset cap (to be stress-tested in Phase 3).</w:t>
      </w:r>
    </w:p>
    <w:p>
      <w:r>
        <w:t xml:space="preserve"/>
      </w:r>
    </w:p>
    <w:p>
      <w:pPr>
        <w:pStyle w:val="Heading2"/>
      </w:pPr>
      <w:r>
        <w:rPr>
          <w:b/>
          <w:bCs/>
        </w:rPr>
        <w:t xml:space="preserve">5.5 Sports-to-match correlation</w:t>
      </w:r>
    </w:p>
    <w:p>
      <w:r>
        <w:t xml:space="preserve">The capture worker correlates Sports WS game IDs to Polymarket asset IDs via fuzzy name matching augmented by a manual overrides file at data/overrides/name_aliases.json. An unseen-gameId buffer holds messages across two discovery cycles before dropping. Drops are logged at WARN level.</w:t>
      </w:r>
    </w:p>
    <w:p>
      <w:r>
        <w:t xml:space="preserve"/>
      </w:r>
    </w:p>
    <w:p>
      <w:pPr>
        <w:pStyle w:val="Heading2"/>
      </w:pPr>
      <w:r>
        <w:rPr>
          <w:b/>
          <w:bCs/>
        </w:rPr>
        <w:t xml:space="preserve">5.6 Storage layout</w:t>
      </w:r>
    </w:p>
    <w:p>
      <w:r>
        <w:t xml:space="preserve">Archive data lives on the Render persistent disk. Directory structure: data/clob/{asset_id}/{date}.jsonl for CLOB ticks; data/sports/{game_id}/{date}.jsonl for Sports WS messages; data/matches/{match_id}/meta.json and data/matches/{match_id}/trades.jsonl for match metadata and trade envelopes; data/sackmann/ for the P(S) Parquet tables; data/overrides/ for correlation overrides; data/baseline/ for the control baseline artifacts.</w:t>
      </w:r>
    </w:p>
    <w:p>
      <w:r>
        <w:t xml:space="preserve"/>
      </w:r>
    </w:p>
    <w:p>
      <w:pPr>
        <w:pStyle w:val="Heading2"/>
      </w:pPr>
      <w:r>
        <w:rPr>
          <w:b/>
          <w:bCs/>
        </w:rPr>
        <w:t xml:space="preserve">5.7 SQLite index</w:t>
      </w:r>
    </w:p>
    <w:p>
      <w:r>
        <w:t xml:space="preserve">A SQLite database on the Render persistent disk indexes the JSONL archive by match ID, asset ID, timestamp, and signal type. The index is rebuilt nightly from the JSONL files and is used by the API and replay simulator for range queries. The JSONL files are authoritative; the index is derived.</w:t>
      </w:r>
    </w:p>
    <w:p>
      <w:r>
        <w:t xml:space="preserve"/>
      </w:r>
    </w:p>
    <w:p>
      <w:pPr>
        <w:pStyle w:val="Heading2"/>
      </w:pPr>
      <w:r>
        <w:rPr>
          <w:b/>
          <w:bCs/>
        </w:rPr>
        <w:t xml:space="preserve">5.8 Post-processing and commitment-file integrity</w:t>
      </w:r>
    </w:p>
    <w:p>
      <w:r>
        <w:t xml:space="preserve">A nightly job runs four tasks: gzip-compress the prior day’s JSONL files; sync compressed files to managed object storage for backup; rebuild the SQLite index; and compute SHA-256 checksums of all commitment files (signal_thresholds.json, fees.json, breakeven.json, data/sackmann/build_log.json) and write them to the healthcheck record. Any checksum change since the prior record fires a CRITICAL alert.</w:t>
      </w:r>
    </w:p>
    <w:p>
      <w:r>
        <w:t xml:space="preserve"/>
      </w:r>
    </w:p>
    <w:p>
      <w:pPr>
        <w:pStyle w:val="Heading1"/>
      </w:pPr>
      <w:r>
        <w:rPr>
          <w:b/>
          <w:bCs/>
        </w:rPr>
        <w:t xml:space="preserve">6. Architecture</w:t>
      </w:r>
    </w:p>
    <w:p>
      <w:r>
        <w:t xml:space="preserve">The architecture is unchanged from v3, subject to the §1.5.6 Hetzner→Render reconciliation already applied. This section summarizes for reference.</w:t>
      </w:r>
    </w:p>
    <w:p>
      <w:r>
        <w:t xml:space="preserve"/>
      </w:r>
    </w:p>
    <w:p>
      <w:pPr>
        <w:pStyle w:val="Heading2"/>
      </w:pPr>
      <w:r>
        <w:rPr>
          <w:b/>
          <w:bCs/>
        </w:rPr>
        <w:t xml:space="preserve">6.1 Host</w:t>
      </w:r>
    </w:p>
    <w:p>
      <w:r>
        <w:t xml:space="preserve">Backend: Render managed PaaS (background worker for capture, web service for API and replay simulator, cron jobs for nightly tasks). Frontend: Netlify (static site hosting). Source: GitHub repository (peterlitton/pm-tennis). Persistent storage: Render persistent disk. Backup: managed object storage (provider TBD, Phase 4 decision).</w:t>
      </w:r>
    </w:p>
    <w:p>
      <w:r>
        <w:t xml:space="preserve"/>
      </w:r>
    </w:p>
    <w:p>
      <w:pPr>
        <w:pStyle w:val="Heading2"/>
      </w:pPr>
      <w:r>
        <w:rPr>
          <w:b/>
          <w:bCs/>
        </w:rPr>
        <w:t xml:space="preserve">6.2 Backend services</w:t>
      </w:r>
    </w:p>
    <w:p>
      <w:r>
        <w:t xml:space="preserve">Capture worker: always-on background worker connecting to CLOB and Sports WebSocket pools, writing JSONL archive, managing correlation, firing signals to the signal queue. API service: REST API serving the dashboard, the admin UI, the replay simulator, and the /healthcheck endpoint. Cron jobs: nightly post-processing (compress, backup, index, checksum); daily operator-availability log rollup.</w:t>
      </w:r>
    </w:p>
    <w:p>
      <w:r>
        <w:t xml:space="preserve"/>
      </w:r>
    </w:p>
    <w:p>
      <w:pPr>
        <w:pStyle w:val="Heading2"/>
      </w:pPr>
      <w:r>
        <w:rPr>
          <w:b/>
          <w:bCs/>
        </w:rPr>
        <w:t xml:space="preserve">6.3 Frontend</w:t>
      </w:r>
    </w:p>
    <w:p>
      <w:r>
        <w:t xml:space="preserve">Netlify-hosted static site. Three surfaces: live dashboard (active match cards, fair-price display, signal panel, conviction score display, exit context panel, manual trade entry form, availability toggle); admin UI (discovery diagnostics, archive browser, signal-threshold editor, gate-evidence export); replay simulator UI (match selection, playback controls, simulated fill analysis).</w:t>
      </w:r>
    </w:p>
    <w:p>
      <w:r>
        <w:t xml:space="preserve"/>
      </w:r>
    </w:p>
    <w:p>
      <w:pPr>
        <w:pStyle w:val="Heading2"/>
      </w:pPr>
      <w:r>
        <w:rPr>
          <w:b/>
          <w:bCs/>
        </w:rPr>
        <w:t xml:space="preserve">6.4 Security</w:t>
      </w:r>
    </w:p>
    <w:p>
      <w:r>
        <w:t xml:space="preserve">No operator credentials are stored in the repository. Secrets (API keys, service tokens) are configured as environment variables in the Render and Netlify web dashboards. The trade-entry endpoint is protected by a shared-secret header (adequate for the personal-use threat model). OBSERVATION_ACTIVE soft lock is checked by the API before accepting any modification to commitment files.</w:t>
      </w:r>
    </w:p>
    <w:p>
      <w:r>
        <w:t xml:space="preserve"/>
      </w:r>
    </w:p>
    <w:p>
      <w:pPr>
        <w:pStyle w:val="Heading1"/>
      </w:pPr>
      <w:r>
        <w:rPr>
          <w:b/>
          <w:bCs/>
        </w:rPr>
        <w:t xml:space="preserve">7. Observation Workflow</w:t>
      </w:r>
    </w:p>
    <w:p>
      <w:r>
        <w:t xml:space="preserve">This section describes the operator’s workflow during the observation window. The window opens after Phase 7 acceptance and the operator’s explicit go-live signal.</w:t>
      </w:r>
    </w:p>
    <w:p>
      <w:r>
        <w:t xml:space="preserve"/>
      </w:r>
    </w:p>
    <w:p>
      <w:pPr>
        <w:pStyle w:val="Heading2"/>
      </w:pPr>
      <w:r>
        <w:rPr>
          <w:b/>
          <w:bCs/>
        </w:rPr>
        <w:t xml:space="preserve">7.1 Per-match workflow</w:t>
      </w:r>
    </w:p>
    <w:p>
      <w:r>
        <w:t xml:space="preserve">At match discovery (typically 30–60 minutes before live): the dashboard displays the match card with pre-match handicap, player rankings, format, and tournament context. The operator reviews the card and confirms availability.</w:t>
      </w:r>
    </w:p>
    <w:p>
      <w:r>
        <w:t xml:space="preserve"/>
      </w:r>
    </w:p>
    <w:p>
      <w:r>
        <w:t xml:space="preserve">During the match: the dashboard updates with each game-boundary Sports WS message. Fair price and conviction score are recomputed and displayed. When a qualifying signal fires (observed price below fair by at least the undershoot threshold, taker-activity and liquidity filters passed), the signal panel highlights the match card with the signal details.</w:t>
      </w:r>
    </w:p>
    <w:p>
      <w:r>
        <w:t xml:space="preserve"/>
      </w:r>
    </w:p>
    <w:p>
      <w:r>
        <w:t xml:space="preserve">At entry decision: the operator reviews the signal, conviction score, and current match context. If choosing to trade, the operator logs intent in the dashboard, opens the Polymarket US iPhone app, and places a passive buy. The entry fill is logged when confirmed in the app.</w:t>
      </w:r>
    </w:p>
    <w:p>
      <w:r>
        <w:t xml:space="preserve"/>
      </w:r>
    </w:p>
    <w:p>
      <w:r>
        <w:t xml:space="preserve">At exit decision: the instrument’s exit-context panel (Section 4.7) is available. The operator reviews current set state, fair-price trajectory, price relative to entry, and any price-extremity warnings. The operator decides whether to let the passive sell ride, adjust the target, or invoke sell-at-market. The exit action is logged when executed.</w:t>
      </w:r>
    </w:p>
    <w:p>
      <w:r>
        <w:t xml:space="preserve"/>
      </w:r>
    </w:p>
    <w:p>
      <w:pPr>
        <w:pStyle w:val="Heading2"/>
      </w:pPr>
      <w:r>
        <w:rPr>
          <w:b/>
          <w:bCs/>
        </w:rPr>
        <w:t xml:space="preserve">7.2 Per-trade logging requirements</w:t>
      </w:r>
    </w:p>
    <w:p>
      <w:r>
        <w:t xml:space="preserve">Every trade action must be logged through the dashboard. The manual-trade envelope (Section 5.3) captures intent, fill, exit intent, and exit fill as four separate timestamped events. The app_displayed field is logged at intent time to enable reconciliation.</w:t>
      </w:r>
    </w:p>
    <w:p>
      <w:r>
        <w:t xml:space="preserve"/>
      </w:r>
    </w:p>
    <w:p>
      <w:r>
        <w:t xml:space="preserve">Daily reconciliation: at end of day during the observation window, the operator cross-checks the dashboard’s trade log against the Polymarket US app’s trade history. Discrepancies are flagged and resolved. Maximum acceptable reconciliation discrepancy rate: 10% of trade count. A rate above 10% enters the secondary criterion as a data-quality flag.</w:t>
      </w:r>
    </w:p>
    <w:p>
      <w:r>
        <w:t xml:space="preserve"/>
      </w:r>
    </w:p>
    <w:p>
      <w:pPr>
        <w:pStyle w:val="Heading2"/>
      </w:pPr>
      <w:r>
        <w:rPr>
          <w:b/>
          <w:bCs/>
        </w:rPr>
        <w:t xml:space="preserve">7.3 Operator availability</w:t>
      </w:r>
    </w:p>
    <w:p>
      <w:r>
        <w:t xml:space="preserve">The operator logs availability (active / passive / offline) through the dashboard availability toggle at the start of each day and at status changes. Signals outside active windows are recorded but do not count against the operator’s measured performance in the window-close analysis. This prevents coverage gaps from biasing the secondary criterion.</w:t>
      </w:r>
    </w:p>
    <w:p>
      <w:r>
        <w:t xml:space="preserve"/>
      </w:r>
    </w:p>
    <w:p>
      <w:pPr>
        <w:pStyle w:val="Heading2"/>
      </w:pPr>
      <w:r>
        <w:rPr>
          <w:b/>
          <w:bCs/>
        </w:rPr>
        <w:t xml:space="preserve">7.4 Variable position sizing</w:t>
      </w:r>
    </w:p>
    <w:p>
      <w:r>
        <w:t xml:space="preserve">Position sizing is not fixed. The operator’s pre-instrument sizing behavior (Section 3.4) demonstrates that stake size carries directional information and that the operator deploys systematically larger stakes in higher-conviction situations. v4 permits variable sizing and requires only that the chosen stake and the instrument’s conviction score at entry be logged together in the manual-trade envelope.</w:t>
      </w:r>
    </w:p>
    <w:p>
      <w:r>
        <w:t xml:space="preserve"/>
      </w:r>
    </w:p>
    <w:p>
      <w:r>
        <w:t xml:space="preserve">The instrument does not recommend a stake size. It surfaces the conviction score (Low / Medium / High / Extreme) as input to the operator’s own sizing judgment. Whether the operator’s sizing choices correlate with conviction scores is tracked as a secondary informational criterion.</w:t>
      </w:r>
    </w:p>
    <w:p>
      <w:r>
        <w:t xml:space="preserve"/>
      </w:r>
    </w:p>
    <w:p>
      <w:pPr>
        <w:pStyle w:val="Heading2"/>
      </w:pPr>
      <w:r>
        <w:rPr>
          <w:b/>
          <w:bCs/>
        </w:rPr>
        <w:t xml:space="preserve">7.5 Exit rule</w:t>
      </w:r>
    </w:p>
    <w:p>
      <w:r>
        <w:t xml:space="preserve">The default exit rule: place a passive sell at a target price derived from the fair-price estimate at the time of fill (targeting a price at or slightly below fair, typically fair × 0.98, subject to signal_thresholds.json). If the passive sell has not filled within 10 minutes of entry fill, evaluate the exit-context panel and either adjust the target or invoke sell-at-market. The 10-minute window is a default; the operator may adjust based on match context (set state, time remaining, price trajectory) as surfaced by Section 4.7.</w:t>
      </w:r>
    </w:p>
    <w:p>
      <w:r>
        <w:t xml:space="preserve"/>
      </w:r>
    </w:p>
    <w:p>
      <w:r>
        <w:t xml:space="preserve">Sell-at-market is always available as a guaranteed exit path. It pays the taker fee on the exit leg and crosses the spread. It is the correct choice when the operator judges that further waiting creates more risk than the spread cost saves.</w:t>
      </w:r>
    </w:p>
    <w:p>
      <w:r>
        <w:t xml:space="preserve"/>
      </w:r>
    </w:p>
    <w:p>
      <w:pPr>
        <w:pStyle w:val="Heading1"/>
      </w:pPr>
      <w:r>
        <w:rPr>
          <w:b/>
          <w:bCs/>
        </w:rPr>
        <w:t xml:space="preserve">8. Phase Plan</w:t>
      </w:r>
    </w:p>
    <w:p>
      <w:pPr>
        <w:pStyle w:val="Heading2"/>
      </w:pPr>
      <w:r>
        <w:rPr>
          <w:b/>
          <w:bCs/>
        </w:rPr>
        <w:t xml:space="preserve">Phase 1 — Environment and data foundation</w:t>
      </w:r>
    </w:p>
    <w:p>
      <w:r>
        <w:rPr>
          <w:b/>
          <w:bCs/>
        </w:rPr>
        <w:t xml:space="preserve">Status: Complete (as of H-005, 2026-04-18).</w:t>
      </w:r>
    </w:p>
    <w:p>
      <w:r>
        <w:t xml:space="preserve"/>
      </w:r>
    </w:p>
    <w:p>
      <w:r>
        <w:t xml:space="preserve">All Phase 1 items are complete: Python 3.12 pinned; Sackmann pipeline built and validated (three P(S) Parquet tables on Render persistent disk); fees.json committed; breakeven.json committed (exit-based model, 58.2% breakeven); Sports WS granularity verified as game-level only (D-006); Render and Netlify accounts configured; GitHub repository established.</w:t>
      </w:r>
    </w:p>
    <w:p>
      <w:r>
        <w:t xml:space="preserve"/>
      </w:r>
    </w:p>
    <w:p>
      <w:r>
        <w:t xml:space="preserve">The CLOB pool asset-cap stress test was deferred from Phase 1 to Phase 3 (when the capture code skeleton exists). This is the only Phase 1 item not yet completed.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Item</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Python pinned to 3.12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Complete</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Sackmann pipeline built and validated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Complete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fees.json committed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Complete</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breakeven.json committed (corrected)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Complete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Sports WS granularity verified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Complete — game-level only (D-006)</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CLOB asset-cap stress test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Deferred to Phase 3</w:t>
            </w:r>
          </w:p>
        </w:tc>
      </w:tr>
    </w:tbl>
    <w:p>
      <w:r>
        <w:t xml:space="preserve"/>
      </w:r>
    </w:p>
    <w:p>
      <w:pPr>
        <w:pStyle w:val="Heading2"/>
      </w:pPr>
      <w:r>
        <w:rPr>
          <w:b/>
          <w:bCs/>
        </w:rPr>
        <w:t xml:space="preserve">Phase 2 — Discovery and metadata</w:t>
      </w:r>
    </w:p>
    <w:p>
      <w:r>
        <w:t xml:space="preserve">Build the discovery loop: Gamma polling for active tennis markets, asset-ID map construction, meta.json writes for each discovered match, and the discovery-delta stream that feeds the capture worker. Acceptance criteria: discovery loop runs for 24 hours without error; at least one real match is discovered, meta.json is written with all required fields; handicap capture logic produces a 5-tick median and correctly flags stale handicaps.</w:t>
      </w:r>
    </w:p>
    <w:p>
      <w:r>
        <w:t xml:space="preserve"/>
      </w:r>
    </w:p>
    <w:p>
      <w:pPr>
        <w:pStyle w:val="Heading2"/>
      </w:pPr>
      <w:r>
        <w:rPr>
          <w:b/>
          <w:bCs/>
        </w:rPr>
        <w:t xml:space="preserve">Phase 3 — Capture</w:t>
      </w:r>
    </w:p>
    <w:p>
      <w:r>
        <w:t xml:space="preserve">Build the CLOB and Sports WS capture workers. Wire the two streams together via the correlation layer. Write the JSONL archive. Implement CLOB pool management including the 15-minute proactive recycle and 90-second liveness probe. Implement the Sports WS retirement/suspension handler. Conduct the deferred CLOB asset-cap stress test. Acceptance criteria: 48-hour unattended capture run with no data gaps; CLOB pool correctly handles stale connections; Sports WS retirement handler correctly marks retired matches.</w:t>
      </w:r>
    </w:p>
    <w:p>
      <w:r>
        <w:t xml:space="preserve"/>
      </w:r>
    </w:p>
    <w:p>
      <w:pPr>
        <w:pStyle w:val="Heading2"/>
      </w:pPr>
      <w:r>
        <w:rPr>
          <w:b/>
          <w:bCs/>
        </w:rPr>
        <w:t xml:space="preserve">Phase 4 — API and admin UI</w:t>
      </w:r>
    </w:p>
    <w:p>
      <w:r>
        <w:t xml:space="preserve">Build the REST API endpoints serving the dashboard and admin UI. Implement the /healthcheck endpoint with commitment-file SHA-256 verification. Build the admin UI with discovery diagnostics, archive browser, and gate-evidence export. Select and configure managed object storage for nightly backup. Acceptance criteria: all API endpoints return correct data; /healthcheck detects a simulated commitment-file modification; admin UI passes operator UAT.</w:t>
      </w:r>
    </w:p>
    <w:p>
      <w:r>
        <w:t xml:space="preserve"/>
      </w:r>
    </w:p>
    <w:p>
      <w:pPr>
        <w:pStyle w:val="Heading2"/>
      </w:pPr>
      <w:r>
        <w:rPr>
          <w:b/>
          <w:bCs/>
        </w:rPr>
        <w:t xml:space="preserve">Phase 5 — Dashboard and instrument features</w:t>
      </w:r>
    </w:p>
    <w:p>
      <w:r>
        <w:t xml:space="preserve">Build the live dashboard with: active match cards; fair-price display with running trajectory; signal panel; conviction score display (Section 4.6); exit-context panel (Section 4.7); manual trade entry form; and operator availability toggle. Wire JavaScript fair-price implementation against Python implementation via shared test vector (CI fails on divergence). Acceptance criteria: dashboard correctly displays fair price, conviction score, and exit context for a live match; JavaScript and Python implementations agree within numerical tolerance; manual trade entry form produces correct envelope.</w:t>
      </w:r>
    </w:p>
    <w:p>
      <w:r>
        <w:t xml:space="preserve"/>
      </w:r>
    </w:p>
    <w:p>
      <w:pPr>
        <w:pStyle w:val="Heading2"/>
      </w:pPr>
      <w:r>
        <w:rPr>
          <w:b/>
          <w:bCs/>
        </w:rPr>
        <w:t xml:space="preserve">Phase 6 — Replay simulator</w:t>
      </w:r>
    </w:p>
    <w:p>
      <w:r>
        <w:t xml:space="preserve">Build the replay simulator that reconstructs the CLOB book at tick granularity and answers the conditional fill question: given a resting buy at price P placed at time T, would the order have filled; would the passive exit have filled within the allowed window; and if not, what would sell-at-market have produced. Compute post-fill price-drift metric for adverse-selection analysis. Acceptance criteria: simulator produces consistent results on a validated historical archive; post-fill drift metric computed correctly; simulator UI passes operator UAT.</w:t>
      </w:r>
    </w:p>
    <w:p>
      <w:r>
        <w:t xml:space="preserve"/>
      </w:r>
    </w:p>
    <w:p>
      <w:pPr>
        <w:pStyle w:val="Heading2"/>
      </w:pPr>
      <w:r>
        <w:rPr>
          <w:b/>
          <w:bCs/>
        </w:rPr>
        <w:t xml:space="preserve">Phase 7 — Pre-launch and window open</w:t>
      </w:r>
    </w:p>
    <w:p>
      <w:r>
        <w:t xml:space="preserve">Complete all remaining acceptance criteria; obtain operator UAT sign-off on all phase gates; pilot the signal-threshold configuration against live data (pilot-then-freeze protocol to be fully specified at this phase — to be assigned D-008); freeze signal_thresholds.json; create OBSERVATION_ACTIVE file; provide operator with window-open briefing. Acceptance criteria: all prior phase gates passed; commitment files frozen and SHA-256 checksums baseline-established; OBSERVATION_ACTIVE present; operator briefing reviewed and signed off.</w:t>
      </w:r>
    </w:p>
    <w:p>
      <w:r>
        <w:t xml:space="preserve"/>
      </w:r>
    </w:p>
    <w:p>
      <w:pPr>
        <w:pStyle w:val="Heading1"/>
      </w:pPr>
      <w:r>
        <w:rPr>
          <w:b/>
          <w:bCs/>
        </w:rPr>
        <w:t xml:space="preserve">9. Observation Window and Window-Close Decision</w:t>
      </w:r>
    </w:p>
    <w:p>
      <w:pPr>
        <w:pStyle w:val="Heading2"/>
      </w:pPr>
      <w:r>
        <w:rPr>
          <w:b/>
          <w:bCs/>
        </w:rPr>
        <w:t xml:space="preserve">9.1 Window parameters</w:t>
      </w:r>
    </w:p>
    <w:p>
      <w:r>
        <w:t xml:space="preserve">The observation window opens at the operator’s go-live signal following Phase 7 acceptance. The window closes when either 250 qualifying signals have been captured (across all active windows) or 60 calendar days have elapsed, whichever comes first. The signal count is the swing-strategy count only; hold-strategy contracts do not count toward the 250 target.</w:t>
      </w:r>
    </w:p>
    <w:p>
      <w:r>
        <w:t xml:space="preserve"/>
      </w:r>
    </w:p>
    <w:p>
      <w:r>
        <w:t xml:space="preserve">No early closure on favorable-appearing partial results. Intermediate win rates (n &lt; 100 swing contracts) are treated as directional-only and are not used to make pass/fail decisions.</w:t>
      </w:r>
    </w:p>
    <w:p>
      <w:r>
        <w:t xml:space="preserve"/>
      </w:r>
    </w:p>
    <w:p>
      <w:pPr>
        <w:pStyle w:val="Heading2"/>
      </w:pPr>
      <w:r>
        <w:rPr>
          <w:b/>
          <w:bCs/>
        </w:rPr>
        <w:t xml:space="preserve">9.2 Position sizing during the window</w:t>
      </w:r>
    </w:p>
    <w:p>
      <w:r>
        <w:t xml:space="preserve">Position sizing is variable. The operator may deploy any stake size consistent with their judgment and the three sizing patterns documented in Section 3.4. Minimum stake: $10. No maximum stake is pre-committed; the operator is expected to apply Pattern C discipline (&gt;$500 stakes only under structural near-certainty conditions) during the window as during the control period. All stakes and corresponding conviction scores are logged in the manual-trade envelope.</w:t>
      </w:r>
    </w:p>
    <w:p>
      <w:r>
        <w:t xml:space="preserve"/>
      </w:r>
    </w:p>
    <w:p>
      <w:pPr>
        <w:pStyle w:val="Heading2"/>
      </w:pPr>
      <w:r>
        <w:rPr>
          <w:b/>
          <w:bCs/>
        </w:rPr>
        <w:t xml:space="preserve">9.3 Primary pass/fail criterion</w:t>
      </w:r>
    </w:p>
    <w:p>
      <w:r>
        <w:t xml:space="preserve">At window close, the primary criterion is evaluated on the swing-strategy subset of the test-period data:</w:t>
      </w:r>
    </w:p>
    <w:p>
      <w:r>
        <w:t xml:space="preserve"/>
      </w:r>
    </w:p>
    <w:p>
      <w:r>
        <w:t xml:space="preserve">The criterion clears when both of the following are true:</w:t>
      </w:r>
    </w:p>
    <w:p>
      <w:r>
        <w:t xml:space="preserve"/>
      </w:r>
    </w:p>
    <w:p>
      <w:pPr>
        <w:pStyle w:val="ListParagraph"/>
        <w:numPr>
          <w:ilvl w:val="0"/>
          <w:numId w:val="2"/>
        </w:numPr>
      </w:pPr>
      <w:r>
        <w:t xml:space="preserve">Directional improvement: the test-period swing win rate exceeds the control-period swing win rate of 55.9% by any positive margin.</w:t>
      </w:r>
    </w:p>
    <w:p>
      <w:pPr>
        <w:pStyle w:val="ListParagraph"/>
        <w:numPr>
          <w:ilvl w:val="0"/>
          <w:numId w:val="2"/>
        </w:numPr>
      </w:pPr>
      <w:r>
        <w:t xml:space="preserve">Statistical significance above breakeven: the Bayesian posterior P(true rate &gt; 58.2%) ≥ 0.80 under a Beta(1,1) prior, updated from the observed test-period swing win/loss counts.</w:t>
      </w:r>
    </w:p>
    <w:p>
      <w:r>
        <w:t xml:space="preserve"/>
      </w:r>
    </w:p>
    <w:p>
      <w:r>
        <w:t xml:space="preserve">If the test-period swing win rate falls between 59% and 63% at window close, the result is ambiguous — directionally positive but not conclusively above breakeven at this sample size. An ambiguous result is not a pass. The recommended response to an ambiguous result is a second observation window rather than a forced pass/fail verdict.</w:t>
      </w:r>
    </w:p>
    <w:p>
      <w:r>
        <w:t xml:space="preserve"/>
      </w:r>
    </w:p>
    <w:p>
      <w:r>
        <w:t xml:space="preserve">Fee-calendar note: if the observation window extends past April 30, 2026 and into the post-promo period, test-period data from the post-promo period must be compared against a re-derived breakeven threshold (post-promo fees.json). Pre-promo and post-promo data are treated as separate cohorts in the primary criterion computation. This is an open issue in Section 11.</w:t>
      </w:r>
    </w:p>
    <w:p>
      <w:r>
        <w:t xml:space="preserve"/>
      </w:r>
    </w:p>
    <w:p>
      <w:pPr>
        <w:pStyle w:val="Heading2"/>
      </w:pPr>
      <w:r>
        <w:rPr>
          <w:b/>
          <w:bCs/>
        </w:rPr>
        <w:t xml:space="preserve">9.4 Secondary informational criteria</w:t>
      </w:r>
    </w:p>
    <w:p>
      <w:r>
        <w:t xml:space="preserve">The following are computed and reported at window close but do not determine pass/fail:</w:t>
      </w:r>
    </w:p>
    <w:p>
      <w:r>
        <w:t xml:space="preserve"/>
      </w:r>
    </w:p>
    <w:p>
      <w:pPr>
        <w:pStyle w:val="ListParagraph"/>
        <w:numPr>
          <w:ilvl w:val="0"/>
          <w:numId w:val="2"/>
        </w:numPr>
      </w:pPr>
      <w:r>
        <w:t xml:space="preserve">H2 magnitude ratio: test-period swing win/loss magnitude ratio vs. 1.79× control baseline and vs. 2.00× threshold. Supported if ≥ 2.00×; directionally positive but below threshold if between 1.79× and 2.00×; not supported if &lt; 1.79×.</w:t>
      </w:r>
    </w:p>
    <w:p>
      <w:pPr>
        <w:pStyle w:val="ListParagraph"/>
        <w:numPr>
          <w:ilvl w:val="0"/>
          <w:numId w:val="2"/>
        </w:numPr>
      </w:pPr>
      <w:r>
        <w:t xml:space="preserve">Mean P&amp;L per winning and losing swing contract (vs. control: +$50.63 winners, −$28.30 losers).</w:t>
      </w:r>
    </w:p>
    <w:p>
      <w:pPr>
        <w:pStyle w:val="ListParagraph"/>
        <w:numPr>
          <w:ilvl w:val="0"/>
          <w:numId w:val="2"/>
        </w:numPr>
      </w:pPr>
      <w:r>
        <w:t xml:space="preserve">Correlation of operator stake with instrument conviction score.</w:t>
      </w:r>
    </w:p>
    <w:p>
      <w:pPr>
        <w:pStyle w:val="ListParagraph"/>
        <w:numPr>
          <w:ilvl w:val="0"/>
          <w:numId w:val="2"/>
        </w:numPr>
      </w:pPr>
      <w:r>
        <w:t xml:space="preserve">Correlation of conviction score with outcome (win/loss).</w:t>
      </w:r>
    </w:p>
    <w:p>
      <w:pPr>
        <w:pStyle w:val="ListParagraph"/>
        <w:numPr>
          <w:ilvl w:val="0"/>
          <w:numId w:val="2"/>
        </w:numPr>
      </w:pPr>
      <w:r>
        <w:t xml:space="preserve">Proportion of trades with exit-order adjustment during the trade.</w:t>
      </w:r>
    </w:p>
    <w:p>
      <w:pPr>
        <w:pStyle w:val="ListParagraph"/>
        <w:numPr>
          <w:ilvl w:val="0"/>
          <w:numId w:val="2"/>
        </w:numPr>
      </w:pPr>
      <w:r>
        <w:t xml:space="preserve">Swing-vs-hold allocation shift (if test-period hold n &lt; 30, this is reported as a strategy-allocation finding).</w:t>
      </w:r>
    </w:p>
    <w:p>
      <w:pPr>
        <w:pStyle w:val="ListParagraph"/>
        <w:numPr>
          <w:ilvl w:val="0"/>
          <w:numId w:val="2"/>
        </w:numPr>
      </w:pPr>
      <w:r>
        <w:t xml:space="preserve">Adverse selection metric: mean post-fill price drift net of fair-price movement over 30 seconds following simulated fills in the replay simulator. A significantly negative net drift warrants investigation before a pass verdict.</w:t>
      </w:r>
    </w:p>
    <w:p>
      <w:pPr>
        <w:pStyle w:val="ListParagraph"/>
        <w:numPr>
          <w:ilvl w:val="0"/>
          <w:numId w:val="2"/>
        </w:numPr>
      </w:pPr>
      <w:r>
        <w:t xml:space="preserve">Reconciliation discrepancy rate: proportion of logged intents that could not be matched to an app trade-history event. Rate above 10% flags a data-quality concern.</w:t>
      </w:r>
    </w:p>
    <w:p>
      <w:r>
        <w:t xml:space="preserve"/>
      </w:r>
    </w:p>
    <w:p>
      <w:pPr>
        <w:pStyle w:val="Heading2"/>
      </w:pPr>
      <w:r>
        <w:rPr>
          <w:b/>
          <w:bCs/>
        </w:rPr>
        <w:t xml:space="preserve">9.5 Composite outcome matrix</w:t>
      </w:r>
    </w:p>
    <w:p>
      <w:r>
        <w:t xml:space="preserve">See Section 3.3 for the full H1/H2 composite outcome matrix and interpretation.</w:t>
      </w:r>
    </w:p>
    <w:p>
      <w:r>
        <w:t xml:space="preserve"/>
      </w:r>
    </w:p>
    <w:p>
      <w:pPr>
        <w:pStyle w:val="Heading2"/>
      </w:pPr>
      <w:r>
        <w:rPr>
          <w:b/>
          <w:bCs/>
        </w:rPr>
        <w:t xml:space="preserve">9.6 Window-close procedure</w:t>
      </w:r>
    </w:p>
    <w:p>
      <w:r>
        <w:t xml:space="preserve">At window close (n=250 or 60 days): (1) Claude produces a window-close analysis notebook covering all primary and secondary criteria with full evidence; (2) the operator reviews the notebook; (3) the operator issues a pass or fail verdict on the primary criterion; (4) the verdict is logged to the DecisionJournal with the full evidence block; (5) if pass, a post-window refinement session is scheduled; if fail or ambiguous, a v5 or project-pause decision is made.</w:t>
      </w:r>
    </w:p>
    <w:p>
      <w:r>
        <w:t xml:space="preserve"/>
      </w:r>
    </w:p>
    <w:p>
      <w:pPr>
        <w:pStyle w:val="Heading2"/>
      </w:pPr>
      <w:r>
        <w:rPr>
          <w:b/>
          <w:bCs/>
        </w:rPr>
        <w:t xml:space="preserve">9.7 Commitment-file immutability during the window</w:t>
      </w:r>
    </w:p>
    <w:p>
      <w:r>
        <w:t xml:space="preserve">Once OBSERVATION_ACTIVE is created, Claude refuses to modify signal_thresholds.json, fees.json, breakeven.json, or data/sackmann/build_log.json regardless of the request. If a change is genuinely required (e.g., a fee-schedule change from the exchange), Claude surfaces this rule, explains that the change ends the current window, and waits for the operator’s explicit acknowledgement before any modification occurs. The current window’s data is preserved and analyzed separately; a new window opens after re-derivation of affected commitment files.</w:t>
      </w:r>
    </w:p>
    <w:p>
      <w:r>
        <w:t xml:space="preserve"/>
      </w:r>
    </w:p>
    <w:p>
      <w:pPr>
        <w:pStyle w:val="Heading1"/>
      </w:pPr>
      <w:r>
        <w:rPr>
          <w:b/>
          <w:bCs/>
        </w:rPr>
        <w:t xml:space="preserve">10. Scope Boundaries</w:t>
      </w:r>
    </w:p>
    <w:p>
      <w:r>
        <w:t xml:space="preserve">In scope for the observation window: men’s and women’s singles tennis on Polymarket US — ATP main-tour, WTA main-tour, Grand Slams, and Challenger-level tournaments. Long-form singles matches only.</w:t>
      </w:r>
    </w:p>
    <w:p>
      <w:r>
        <w:t xml:space="preserve"/>
      </w:r>
    </w:p>
    <w:p>
      <w:r>
        <w:t xml:space="preserve">Explicitly out of scope: doubles matches; mixed doubles; any non-tennis sport; any Polymarket US market other than the singles moneyline during the observation window; no-ad scoring variants on Challenger matches (flagged and excluded from signal evaluation); super-tiebreak deciders (flagged and excluded).</w:t>
      </w:r>
    </w:p>
    <w:p>
      <w:r>
        <w:t xml:space="preserve"/>
      </w:r>
    </w:p>
    <w:p>
      <w:r>
        <w:t xml:space="preserve">The instrument captures CLOB data for all tennis markets listed on Polymarket US for archival completeness, but signal evaluation and the observation window primary criterion apply only to in-scope markets as defined above.</w:t>
      </w:r>
    </w:p>
    <w:p>
      <w:r>
        <w:t xml:space="preserve"/>
      </w:r>
    </w:p>
    <w:p>
      <w:pPr>
        <w:pStyle w:val="Heading1"/>
      </w:pPr>
      <w:r>
        <w:rPr>
          <w:b/>
          <w:bCs/>
        </w:rPr>
        <w:t xml:space="preserve">11. Open Issues</w:t>
      </w:r>
    </w:p>
    <w:p>
      <w:r>
        <w:t xml:space="preserve">Issues are scored 1–10 for severity. 7–8 is critical (per-match or per-phase failure mode requiring engineering). 5–6 is material. ≤4 is acknowledged, managed inline.</w:t>
      </w:r>
    </w:p>
    <w:p>
      <w:r>
        <w:t xml:space="preserve"/>
      </w:r>
    </w:p>
    <w:p>
      <w:pPr>
        <w:pStyle w:val="Heading2"/>
      </w:pPr>
      <w:r>
        <w:rPr>
          <w:b/>
          <w:bCs/>
        </w:rPr>
        <w:t xml:space="preserve">11.1 Critical issues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4500"/>
        <w:gridCol w:w="1760"/>
      </w:tblGrid>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Sev</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Issue</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Action</w:t>
            </w:r>
          </w:p>
        </w:tc>
        <w:tc>
          <w:tcPr>
            <w:tcW w:type="dxa" w:w="1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Adverse selection on passive fills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Replay simulator (Phase 6) computes post-fill price-drift metric net of fair-price movement over 30s. Significantly negative net drift fails the window.</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8</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Statistical power at small sample</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Window runs to n=250 swing contracts or 60 days. Primary criterion uses Bayesian posterior. Ambiguous zone (59%–63%) requires second window rather than forced verdict.</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Open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First-server identification at match start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Phase 3: on first Sports message with live==true, record first-server in meta.json with explicit flag. Window-close analysis cross-checks accumulated evidence against final winner.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 — Phase 3</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7</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Tiebreak state representation</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State tuple includes in_tiebreak boolean and separate tb_points_a/b counters. P(S) lookup distinguishes tiebreak from game-play states.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Open — Phase 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Retirement and suspension handling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On Sports WS status → “suspended”, disable signal evaluation. On “finished”/“cancelled” with partial score, mark retired and exclude from window-close.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 — Phase 3</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7</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Maker-rebates-program artifact vs real mispricing</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Recent-taker-activity filter (Section 4.4): last_trade_price event must be present within 30s before signal.</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Open — Phase 4/5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Two-client sync and manual-log race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Intent-first logging; app_displayed fields; daily reconciliation; max 10% discrepancy rate.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 — Phase 7</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7</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Operator fatigue and coverage</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Pre-committed coverage windows; operator_availability.jsonl; signals outside active windows excluded from measured performance.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Open — Phase 7</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Sackmann pooling across tours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Post-build refinement compares deltas at representative states across tour-specific tables once live archive accumulates sufficient matches. If deltas differ &gt;15% at high-leverage states, tour-specific lookups required.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 — post-window</w:t>
            </w:r>
          </w:p>
        </w:tc>
      </w:tr>
    </w:tbl>
    <w:p>
      <w:r>
        <w:t xml:space="preserve"/>
      </w:r>
    </w:p>
    <w:p>
      <w:pPr>
        <w:pStyle w:val="Heading2"/>
      </w:pPr>
      <w:r>
        <w:rPr>
          <w:b/>
          <w:bCs/>
        </w:rPr>
        <w:t xml:space="preserve">11.2 Material issues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4500"/>
        <w:gridCol w:w="1760"/>
      </w:tblGrid>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Sev</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Issue</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Action</w:t>
            </w:r>
          </w:p>
        </w:tc>
        <w:tc>
          <w:tcPr>
            <w:tcW w:type="dxa" w:w="1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Sackmann archive coverage beyond 2017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Phase 1 checked actual data cutoff — recorded in build_log.json. Structural properties of P(S) change slowly. Post-build re-calibration against live archive.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 — post-window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6</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Stale pre-match handicap on lightly-traded matches</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Last-5-tick median; 30-minute max-age on most recent tick; stale handicaps excluded from signal evaluation.</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Open — Phase 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Commitment-file immutability during observation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Daily SHA-256 checksum in healthcheck; OBSERVATION_ACTIVE soft lock; optional GitHub Actions check.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 — Phase 7</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6</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JS/Python fair-price implementation drift</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Shared test vector in CI. Identical input produces identical output within numerical tolerance. Netlify build fails on divergence.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Open — Phase 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Promo fee window boundary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If observation window extends past 2026-04-30, post-promo data requires re-derived breakeven threshold. Pre- and post-promo cohorts treated separately.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 — monitor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5</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Conviction-score calibration</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Conviction score is logged but not validated as a gating criterion in v4. Calibration (score vs. outcome correlation) is a post-window secondary analysis.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Open — post-window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Pre-match vs in-play regime boundary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Regime flag derived from Sports WS status; Polymarket internal regime may switch slightly before or after. Materiality modest. Post-build cross-check.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 — post-window</w:t>
            </w:r>
          </w:p>
        </w:tc>
      </w:tr>
    </w:tbl>
    <w:p>
      <w:r>
        <w:t xml:space="preserve"/>
      </w:r>
    </w:p>
    <w:p>
      <w:pPr>
        <w:pStyle w:val="Heading2"/>
      </w:pPr>
      <w:r>
        <w:rPr>
          <w:b/>
          <w:bCs/>
        </w:rPr>
        <w:t xml:space="preserve">11.3 Lesser issues</w:t>
      </w:r>
    </w:p>
    <w:p>
      <w:r>
        <w:t xml:space="preserve">Severity 1–4, acknowledged and managed inline: Gamma slug name truncation (3); player appearing twice same day (2); no-ad scoring on some Challengers (4) — flagged and excluded; super-tiebreak deciders (3) — flagged and excluded; Gamma poll lag at match close (3); iPhone/VPS clock drift (3); soft 150-asset pool cap (2) — stress test deferred to Phase 3; cold storage destination (4) — Phase 4 decision; session hijack on trade endpoint (3).</w:t>
      </w:r>
    </w:p>
    <w:p>
      <w:r>
        <w:t xml:space="preserve"/>
      </w:r>
    </w:p>
    <w:p>
      <w:pPr>
        <w:pStyle w:val="Heading1"/>
      </w:pPr>
      <w:r>
        <w:rPr>
          <w:b/>
          <w:bCs/>
        </w:rPr>
        <w:t xml:space="preserve">12. Risks and Mitigations</w:t>
      </w:r>
    </w:p>
    <w:p>
      <w:pPr>
        <w:pStyle w:val="Heading2"/>
      </w:pPr>
      <w:r>
        <w:rPr>
          <w:b/>
          <w:bCs/>
        </w:rPr>
        <w:t xml:space="preserve">12.1 Polymarket US API changes</w:t>
      </w:r>
    </w:p>
    <w:p>
      <w:r>
        <w:t xml:space="preserve">Endpoint shapes change, auth required, rate limits tighten, tennis taxonomy restructured, or fee schedule revised. The envelope stores raw messages; meta.json preserves full discovery payloads; quarterly taxonomy review; rate-limit response headers logged; fee-schedule change ends the current window and requires re-derivation of breakeven.json.</w:t>
      </w:r>
    </w:p>
    <w:p>
      <w:r>
        <w:t xml:space="preserve"/>
      </w:r>
    </w:p>
    <w:p>
      <w:pPr>
        <w:pStyle w:val="Heading2"/>
      </w:pPr>
      <w:r>
        <w:rPr>
          <w:b/>
          <w:bCs/>
        </w:rPr>
        <w:t xml:space="preserve">12.2 Silent CLOB stall</w:t>
      </w:r>
    </w:p>
    <w:p>
      <w:r>
        <w:t xml:space="preserve">Documented issue where the CLOB WS silently stops delivering messages while ping/pong continues. Proactive 15-minute recycle; 90-second liveness probe backstop; pooled connections so a single stall affects at most one-quarter of coverage.</w:t>
      </w:r>
    </w:p>
    <w:p>
      <w:r>
        <w:t xml:space="preserve"/>
      </w:r>
    </w:p>
    <w:p>
      <w:pPr>
        <w:pStyle w:val="Heading2"/>
      </w:pPr>
      <w:r>
        <w:rPr>
          <w:b/>
          <w:bCs/>
        </w:rPr>
        <w:t xml:space="preserve">12.3 Correlation failure</w:t>
      </w:r>
    </w:p>
    <w:p>
      <w:r>
        <w:t xml:space="preserve">Sports WS names and Gamma event names diverge. Manual overrides file at data/overrides/name_aliases.json; unseen-gameId buffer across two discovery cycles; drops logged at WARN.</w:t>
      </w:r>
    </w:p>
    <w:p>
      <w:r>
        <w:t xml:space="preserve"/>
      </w:r>
    </w:p>
    <w:p>
      <w:pPr>
        <w:pStyle w:val="Heading2"/>
      </w:pPr>
      <w:r>
        <w:rPr>
          <w:b/>
          <w:bCs/>
        </w:rPr>
        <w:t xml:space="preserve">12.4 Late match discovery</w:t>
      </w:r>
    </w:p>
    <w:p>
      <w:r>
        <w:t xml:space="preserve">Match appears on Polymarket US less than 5 minutes before going live. Captured in full; excluded from window-close signal evaluation due to insufficient pre-match ticks.</w:t>
      </w:r>
    </w:p>
    <w:p>
      <w:r>
        <w:t xml:space="preserve"/>
      </w:r>
    </w:p>
    <w:p>
      <w:pPr>
        <w:pStyle w:val="Heading2"/>
      </w:pPr>
      <w:r>
        <w:rPr>
          <w:b/>
          <w:bCs/>
        </w:rPr>
        <w:t xml:space="preserve">12.5 Host downtime</w:t>
      </w:r>
    </w:p>
    <w:p>
      <w:r>
        <w:t xml:space="preserve">Render restart, provider maintenance, outage. Render restart policy; recycle and reconnect produces clean snapshot-after-gap archive sequence.</w:t>
      </w:r>
    </w:p>
    <w:p>
      <w:r>
        <w:t xml:space="preserve"/>
      </w:r>
    </w:p>
    <w:p>
      <w:pPr>
        <w:pStyle w:val="Heading2"/>
      </w:pPr>
      <w:r>
        <w:rPr>
          <w:b/>
          <w:bCs/>
        </w:rPr>
        <w:t xml:space="preserve">12.6 Storage growth and backup</w:t>
      </w:r>
    </w:p>
    <w:p>
      <w:r>
        <w:t xml:space="preserve">JSONL accumulates faster than projected or disk fails. Nightly gzip ~10× compression; nightly backup sync to object storage; quarterly cold archive.</w:t>
      </w:r>
    </w:p>
    <w:p>
      <w:r>
        <w:t xml:space="preserve"/>
      </w:r>
    </w:p>
    <w:p>
      <w:pPr>
        <w:pStyle w:val="Heading2"/>
      </w:pPr>
      <w:r>
        <w:rPr>
          <w:b/>
          <w:bCs/>
        </w:rPr>
        <w:t xml:space="preserve">12.7 In-house Polymarket US market-making desk activation</w:t>
      </w:r>
    </w:p>
    <w:p>
      <w:r>
        <w:t xml:space="preserve">If Polymarket US activates an internal MM desk during observation, book dynamics change. Watch announcements; treat pre/post-launch data as separate regimes if launch falls in the window.</w:t>
      </w:r>
    </w:p>
    <w:p>
      <w:r>
        <w:t xml:space="preserve"/>
      </w:r>
    </w:p>
    <w:p>
      <w:pPr>
        <w:pStyle w:val="Heading1"/>
      </w:pPr>
      <w:r>
        <w:rPr>
          <w:b/>
          <w:bCs/>
        </w:rPr>
        <w:t xml:space="preserve">13. Prerequisites Before Phase 2</w:t>
      </w:r>
    </w:p>
    <w:p>
      <w:r>
        <w:t xml:space="preserve">Phase 1 is complete. The following prerequisites must be satisfied before Phase 2 begins:</w:t>
      </w:r>
    </w:p>
    <w:p>
      <w:r>
        <w:t xml:space="preserve"/>
      </w:r>
    </w:p>
    <w:p>
      <w:pPr>
        <w:pStyle w:val="ListParagraph"/>
        <w:numPr>
          <w:ilvl w:val="0"/>
          <w:numId w:val="2"/>
        </w:numPr>
      </w:pPr>
      <w:r>
        <w:t xml:space="preserve">GitHub repository (peterlitton/pm-tennis) with all Phase 1 files committed, including: .python-version, requirements.txt, fees.json, breakeven.json, sackmann/build_ps_tables.py, sackmann/fair_price.py, docs/sports_ws_granularity_verification.md, STATE.md v5, RAID.md (I-001 resolved), and this build plan v4.</w:t>
      </w:r>
    </w:p>
    <w:p>
      <w:pPr>
        <w:pStyle w:val="ListParagraph"/>
        <w:numPr>
          <w:ilvl w:val="0"/>
          <w:numId w:val="2"/>
        </w:numPr>
      </w:pPr>
      <w:r>
        <w:t xml:space="preserve">Render account configured with persistent disk; P(S) Parquet tables present at /data/sackmann/.</w:t>
      </w:r>
    </w:p>
    <w:p>
      <w:pPr>
        <w:pStyle w:val="ListParagraph"/>
        <w:numPr>
          <w:ilvl w:val="0"/>
          <w:numId w:val="2"/>
        </w:numPr>
      </w:pPr>
      <w:r>
        <w:t xml:space="preserve">Netlify account configured and connected to GitHub repository.</w:t>
      </w:r>
    </w:p>
    <w:p>
      <w:pPr>
        <w:pStyle w:val="ListParagraph"/>
        <w:numPr>
          <w:ilvl w:val="0"/>
          <w:numId w:val="2"/>
        </w:numPr>
      </w:pPr>
      <w:r>
        <w:t xml:space="preserve">Polymarket US funded account with iPhone app installed and trading verified.</w:t>
      </w:r>
    </w:p>
    <w:p>
      <w:pPr>
        <w:pStyle w:val="ListParagraph"/>
        <w:numPr>
          <w:ilvl w:val="0"/>
          <w:numId w:val="2"/>
        </w:numPr>
      </w:pPr>
      <w:r>
        <w:t xml:space="preserve">Operator has reviewed and accepted this v4 build plan.</w:t>
      </w:r>
    </w:p>
    <w:p>
      <w:r>
        <w:t xml:space="preserve"/>
      </w:r>
    </w:p>
    <w:p>
      <w:r>
        <w:t xml:space="preserve">Object storage provider (for nightly backup sync): deferred to Phase 4 decision.</w:t>
      </w:r>
    </w:p>
    <w:p>
      <w:r>
        <w:t xml:space="preserve"/>
      </w:r>
    </w:p>
    <w:p>
      <w:r>
        <w:t xml:space="preserve">— end of plan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4057"/>
      <w:sz w:val="28"/>
      <w:szCs w:val="28"/>
    </w:rPr>
  </w:style>
  <w:style w:type="paragraph" w:styleId="Heading3">
    <w:name w:val="Heading 3"/>
    <w:basedOn w:val="Normal"/>
    <w:next w:val="Normal"/>
    <w:qFormat/>
    <w:pPr>
      <w:spacing w:after="60" w:before="180"/>
      <w:outlineLvl w:val="2"/>
    </w:pPr>
    <w:rPr>
      <w:rFonts w:ascii="Arial" w:cs="Arial" w:eastAsia="Arial" w:hAnsi="Arial"/>
      <w:b/>
      <w:bCs/>
      <w:color w:val="444444"/>
      <w:sz w:val="24"/>
      <w:szCs w:val="24"/>
    </w:rPr>
  </w:style>
  <w:style w:type="paragraph" w:styleId="Heading4">
    <w:name w:val="Heading 4"/>
    <w:basedOn w:val="Normal"/>
    <w:next w:val="Normal"/>
    <w:qFormat/>
    <w:pPr>
      <w:spacing w:after="40" w:before="120"/>
      <w:outlineLvl w:val="3"/>
    </w:pPr>
    <w:rPr>
      <w:rFonts w:ascii="Arial" w:cs="Arial" w:eastAsia="Arial" w:hAnsi="Arial"/>
      <w:b/>
      <w:bCs/>
      <w:i/>
      <w:i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2026-04-18T23:57:45.475Z</dcterms:created>
  <dcterms:modified xsi:type="dcterms:W3CDTF">2026-04-18T23:57:45.476Z</dcterms:modified>
</cp:coreProperties>
</file>

<file path=docProps/custom.xml><?xml version="1.0" encoding="utf-8"?>
<Properties xmlns="http://schemas.openxmlformats.org/officeDocument/2006/custom-properties" xmlns:vt="http://schemas.openxmlformats.org/officeDocument/2006/docPropsVTypes"/>
</file>