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2AA96F">
      <w:pPr>
        <w:pStyle w:val="31"/>
        <w:spacing w:before="1900" w:after="360"/>
        <w:jc w:val="center"/>
      </w:pPr>
      <w:r>
        <w:rPr>
          <w:rFonts w:ascii="Noto Sans" w:hAnsi="Noto Sans" w:eastAsia="Noto Sans CJK SC"/>
          <w:b/>
          <w:color w:val="000000"/>
          <w:sz w:val="44"/>
        </w:rPr>
        <w:t>任务二</w:t>
      </w:r>
      <w:r>
        <w:rPr>
          <w:rFonts w:ascii="Noto Sans" w:hAnsi="Noto Sans" w:eastAsia="Noto Sans CJK SC"/>
          <w:b/>
          <w:color w:val="000000"/>
          <w:sz w:val="44"/>
        </w:rPr>
        <w:br w:type="textWrapping"/>
      </w:r>
      <w:r>
        <w:rPr>
          <w:rFonts w:ascii="Noto Sans" w:hAnsi="Noto Sans" w:eastAsia="Noto Sans CJK SC"/>
          <w:b/>
          <w:color w:val="000000"/>
          <w:sz w:val="44"/>
        </w:rPr>
        <w:t>LLM驱动经济模拟数值与运行参数说明</w:t>
      </w:r>
    </w:p>
    <w:p w14:paraId="12FD34F1">
      <w:pPr>
        <w:jc w:val="center"/>
      </w:pPr>
      <w:r>
        <w:t>第三次修订版</w:t>
      </w:r>
    </w:p>
    <w:p w14:paraId="63C53998">
      <w:pPr>
        <w:pStyle w:val="26"/>
        <w:spacing w:before="360"/>
        <w:jc w:val="center"/>
      </w:pPr>
      <w:r>
        <w:rPr>
          <w:rFonts w:ascii="Noto Sans" w:hAnsi="Noto Sans" w:eastAsia="Noto Sans CJK SC"/>
          <w:b w:val="0"/>
          <w:color w:val="5E6B75"/>
          <w:sz w:val="24"/>
        </w:rPr>
        <w:t>基于大语言模型智能体的经济计算与经济体制比较研究</w:t>
      </w:r>
    </w:p>
    <w:p w14:paraId="73A3A4CE">
      <w:pPr>
        <w:spacing w:before="1200"/>
        <w:jc w:val="center"/>
      </w:pPr>
      <w:r>
        <w:rPr>
          <w:rFonts w:ascii="Noto Sans" w:hAnsi="Noto Sans" w:eastAsia="Noto Sans CJK SC"/>
          <w:b w:val="0"/>
          <w:color w:val="5E6B75"/>
          <w:sz w:val="21"/>
        </w:rPr>
        <w:t>用于导师讨论  模型编码  参数校准与预实验</w:t>
      </w:r>
    </w:p>
    <w:p w14:paraId="27AF5DDB">
      <w:pPr>
        <w:spacing w:before="3200"/>
        <w:jc w:val="center"/>
      </w:pPr>
      <w:r>
        <w:rPr>
          <w:rFonts w:ascii="Noto Sans" w:hAnsi="Noto Sans" w:eastAsia="Noto Sans CJK SC"/>
          <w:b/>
          <w:color w:val="365B7D"/>
          <w:sz w:val="21"/>
        </w:rPr>
        <w:t>本版聚焦共同物理内核  价值核算模块后续单独设计</w:t>
      </w:r>
    </w:p>
    <w:p w14:paraId="2C322783">
      <w:r>
        <w:br w:type="page"/>
      </w:r>
    </w:p>
    <w:p w14:paraId="6A4E8CD6">
      <w:pPr>
        <w:pStyle w:val="3"/>
      </w:pPr>
      <w:r>
        <w:t>修订结论</w:t>
      </w:r>
    </w:p>
    <w:p w14:paraId="3307AC67">
      <w:pPr>
        <w:keepLines w:val="0"/>
        <w:ind w:firstLine="420"/>
      </w:pPr>
      <w:r>
        <w:t>本版把第一版模型收缩为一个可直接编码的物质循环。模型只保留三个时间层级，第一轮实验把三个周期长度都设为1。每轮依次完成生产、收获、分配、流通、运输和消费。运输不再设置车辆、司机、装卸时间或运力上限；途中损耗改为按商品种类和跨越地块数计算的固定绝对损耗，不再随发运量同比例增加，从而使合并运输和大批量运输产生单位损耗下降的规模效应。</w:t>
      </w:r>
    </w:p>
    <w:p w14:paraId="3049B407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Agent暂时只保留位置、岗位技能、工作投入、基本消费需求和健康禀赋。理想消费、风险承受度、服从倾向和通勤敏感度全部删除。货币、劳动券、价格、工资和账户也不进入本版；不同制度先通过信息结构、计划或交换指令以及实物分配规则接入同一物理内核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035DF015">
        <w:trPr>
          <w:tblHeader/>
          <w:jc w:val="center"/>
        </w:trPr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96BCEA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调整项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DCFF98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原设定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B2FD8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本版设定</w:t>
            </w:r>
          </w:p>
        </w:tc>
      </w:tr>
      <w:tr w14:paraId="57013719">
        <w:trPr>
          <w:jc w:val="center"/>
        </w:trPr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D9E5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时间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441E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日、周、季和13周农业周期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7BED0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行动轮、谷物成熟周期、计划期；第一版均为1</w:t>
            </w:r>
          </w:p>
        </w:tc>
      </w:tr>
      <w:tr w14:paraId="578E57DC">
        <w:trPr>
          <w:jc w:val="center"/>
        </w:trPr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9733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日程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CA541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按小时划分工作、通勤、领取和休息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0A20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每轮固定六步结算</w:t>
            </w:r>
          </w:p>
        </w:tc>
      </w:tr>
      <w:tr w14:paraId="66FBE8E1">
        <w:trPr>
          <w:jc w:val="center"/>
        </w:trPr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F8E1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运输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4A1135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两辆货车、司机、运量、装卸和行驶时间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27982">
            <w:r>
              <w:t>无车辆；每条调拨按品类和距离扣除固定绝对损耗</w:t>
            </w:r>
          </w:p>
        </w:tc>
      </w:tr>
      <w:tr w14:paraId="5D02417A">
        <w:trPr>
          <w:jc w:val="center"/>
        </w:trPr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A314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Agent偏好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F98CC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理想消费、理想工时、风险、服从、通勤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0713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暂不设置</w:t>
            </w:r>
          </w:p>
        </w:tc>
      </w:tr>
      <w:tr w14:paraId="25C91FCC">
        <w:trPr>
          <w:jc w:val="center"/>
        </w:trPr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CB57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健康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7C9E2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固定0.70、2、8，健康上限100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0401D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个体最低消费与损伤系数；健康上限10；加入工时损伤</w:t>
            </w:r>
          </w:p>
        </w:tc>
      </w:tr>
      <w:tr w14:paraId="014A6653">
        <w:trPr>
          <w:jc w:val="center"/>
        </w:trPr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4CB1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季节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6D92E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四季、农业系数和季节损耗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1AE1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删除</w:t>
            </w:r>
          </w:p>
        </w:tc>
      </w:tr>
      <w:tr w14:paraId="4C066CBA">
        <w:trPr>
          <w:jc w:val="center"/>
        </w:trPr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2423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价值核算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75E6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货币、劳动券、工资、价格与账户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C07D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整体后移</w:t>
            </w:r>
          </w:p>
        </w:tc>
      </w:tr>
    </w:tbl>
    <w:p w14:paraId="5640985E">
      <w:pPr>
        <w:spacing w:after="20"/>
      </w:pPr>
    </w:p>
    <w:p w14:paraId="70DD380B">
      <w:pPr>
        <w:pStyle w:val="3"/>
      </w:pPr>
      <w:r>
        <w:t>一 研究边界与建模原则</w:t>
      </w:r>
    </w:p>
    <w:p w14:paraId="041914EC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研究对象仍是封闭经济中的谷物与铁两部门系统。谷物是家庭消费品，铁是谷物生产所需的中间投入。家庭型Agent同时提供劳动并进行消费，生产资料、土地与公共仓储在第一版中全部国有。</w:t>
      </w:r>
    </w:p>
    <w:p w14:paraId="5E339849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LLM负责形成行动意图、请求、沟通和异常应对；环境程序负责核验权限和可行性，并结算生产、库存、运输损耗、消费与健康。LLM不能直接修改库存、健康值或产量。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6636F7A9">
        <w:trPr>
          <w:tblHeader/>
          <w:jc w:val="center"/>
        </w:trPr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8921F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w="77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B9DC2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第一版设定</w:t>
            </w:r>
          </w:p>
        </w:tc>
      </w:tr>
      <w:tr w14:paraId="43C0C394">
        <w:trPr>
          <w:jc w:val="center"/>
        </w:trPr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E4C8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经济边界</w:t>
            </w:r>
          </w:p>
        </w:tc>
        <w:tc>
          <w:tcPr>
            <w:tcW w:w="77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888F6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封闭经济，无进出口、人口迁入和外部救济</w:t>
            </w:r>
          </w:p>
        </w:tc>
      </w:tr>
      <w:tr w14:paraId="039F99CA">
        <w:trPr>
          <w:jc w:val="center"/>
        </w:trPr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DC68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人口</w:t>
            </w:r>
          </w:p>
        </w:tc>
        <w:tc>
          <w:tcPr>
            <w:tcW w:w="77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BF09A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16个家庭型Agent</w:t>
            </w:r>
          </w:p>
        </w:tc>
      </w:tr>
      <w:tr w14:paraId="35D7DF63">
        <w:trPr>
          <w:jc w:val="center"/>
        </w:trPr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3E4F1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产品</w:t>
            </w:r>
          </w:p>
        </w:tc>
        <w:tc>
          <w:tcPr>
            <w:tcW w:w="77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BCF73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谷物与铁</w:t>
            </w:r>
          </w:p>
        </w:tc>
      </w:tr>
      <w:tr w14:paraId="357808B9">
        <w:trPr>
          <w:jc w:val="center"/>
        </w:trPr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F9B1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产权</w:t>
            </w:r>
          </w:p>
        </w:tc>
        <w:tc>
          <w:tcPr>
            <w:tcW w:w="77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3E7EC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生产资料国有；进入家庭库存后的谷物由家庭使用</w:t>
            </w:r>
          </w:p>
        </w:tc>
      </w:tr>
      <w:tr w14:paraId="49E2DABE">
        <w:trPr>
          <w:jc w:val="center"/>
        </w:trPr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5A9B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短缺</w:t>
            </w:r>
          </w:p>
        </w:tc>
        <w:tc>
          <w:tcPr>
            <w:tcW w:w="77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42EA4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在基本需求范围内进行可复现的随机分配</w:t>
            </w:r>
          </w:p>
        </w:tc>
      </w:tr>
      <w:tr w14:paraId="7FB60DFA">
        <w:trPr>
          <w:jc w:val="center"/>
        </w:trPr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CE8A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暂不建模</w:t>
            </w:r>
          </w:p>
        </w:tc>
        <w:tc>
          <w:tcPr>
            <w:tcW w:w="77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09FCE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季节、车辆、货币、劳动券、账户、瞒报、黑市、折旧与投资</w:t>
            </w:r>
          </w:p>
        </w:tc>
      </w:tr>
      <w:tr w14:paraId="2C9B252D">
        <w:trPr>
          <w:jc w:val="center"/>
        </w:trPr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C2AA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制度差异</w:t>
            </w:r>
          </w:p>
        </w:tc>
        <w:tc>
          <w:tcPr>
            <w:tcW w:w="77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A81C7B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信息可见范围、计划或交换指令、实物分配与调整规则</w:t>
            </w:r>
          </w:p>
        </w:tc>
      </w:tr>
      <w:tr w14:paraId="5AE73450">
        <w:trPr>
          <w:jc w:val="center"/>
        </w:trPr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D698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环境裁判</w:t>
            </w:r>
          </w:p>
        </w:tc>
        <w:tc>
          <w:tcPr>
            <w:tcW w:w="770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303D0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确定性程序结算，不使用自由裁量型LLM Game Master</w:t>
            </w:r>
          </w:p>
        </w:tc>
      </w:tr>
    </w:tbl>
    <w:p w14:paraId="04C50BD0">
      <w:pPr>
        <w:spacing w:after="20"/>
      </w:pPr>
    </w:p>
    <w:p w14:paraId="577153C1">
      <w:pPr>
        <w:pStyle w:val="3"/>
      </w:pPr>
      <w:r>
        <w:t>二 时间层级与单轮日程</w:t>
      </w:r>
    </w:p>
    <w:p w14:paraId="23BD90BA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模型不再把现实世界的日、周、季节逐一复刻。所有时间统一为离散轮次，并设置三个可以独立调整的整数参数。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8"/>
        <w:gridCol w:w="2498"/>
        <w:gridCol w:w="2498"/>
        <w:gridCol w:w="2498"/>
      </w:tblGrid>
      <w:tr w14:paraId="2AD59E39">
        <w:trPr>
          <w:tblHeader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F13A6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时间层级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7DEBB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符号</w:t>
            </w:r>
          </w:p>
        </w:tc>
        <w:tc>
          <w:tcPr>
            <w:tcW w:w="48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15BD95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FEBD8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第一版</w:t>
            </w:r>
          </w:p>
        </w:tc>
      </w:tr>
      <w:tr w14:paraId="5800F929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F6DF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行动轮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9EF79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 round</w:t>
            </w:r>
          </w:p>
        </w:tc>
        <w:tc>
          <w:tcPr>
            <w:tcW w:w="48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4161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环境推进一次并完成一次完整结算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7253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</w:t>
            </w:r>
          </w:p>
        </w:tc>
      </w:tr>
      <w:tr w14:paraId="2A2F71DC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4C9EF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谷物成熟周期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7BF37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k_g</w:t>
            </w:r>
          </w:p>
        </w:tc>
        <w:tc>
          <w:tcPr>
            <w:tcW w:w="48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E9C655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从本轮投入生产到可收获所需的行动轮数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1112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</w:t>
            </w:r>
          </w:p>
        </w:tc>
      </w:tr>
      <w:tr w14:paraId="62F4FFF3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668D2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计划期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7A21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k_p</w:t>
            </w:r>
          </w:p>
        </w:tc>
        <w:tc>
          <w:tcPr>
            <w:tcW w:w="48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A236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制度主体重新制定或调整计划的间隔</w:t>
            </w:r>
          </w:p>
        </w:tc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E210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</w:t>
            </w:r>
          </w:p>
        </w:tc>
      </w:tr>
    </w:tbl>
    <w:p w14:paraId="0B8C902D">
      <w:pPr>
        <w:spacing w:after="20"/>
      </w:pPr>
    </w:p>
    <w:p w14:paraId="0FCE4BB0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当k_g=1时，本轮投入的劳动和铁在本轮收获环节形成谷物；当k_p=1时，制度主体每轮都可以根据上一轮结果调整下一轮指令。后续实验可以单独增大k_g或k_p，用于研究生产时滞和计划调整滞后，而无需改变其他模块。</w:t>
      </w:r>
    </w:p>
    <w:p w14:paraId="09A4BF62">
      <w:pPr>
        <w:pStyle w:val="4"/>
      </w:pPr>
      <w:r>
        <w:t>每轮固定顺序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4192D6A3">
        <w:trPr>
          <w:tblHeader/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BF75E1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EC740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w="69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CA777F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环境结算内容</w:t>
            </w:r>
          </w:p>
        </w:tc>
      </w:tr>
      <w:tr w14:paraId="693532F8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F7F6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FF29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生产</w:t>
            </w:r>
          </w:p>
        </w:tc>
        <w:tc>
          <w:tcPr>
            <w:tcW w:w="69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784CD9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Agent提交劳动，生产点锁定可用投入</w:t>
            </w:r>
          </w:p>
        </w:tc>
      </w:tr>
      <w:tr w14:paraId="4DB8D3CF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F60B0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3DEB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收获</w:t>
            </w:r>
          </w:p>
        </w:tc>
        <w:tc>
          <w:tcPr>
            <w:tcW w:w="69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CC11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达到成熟周期的在产品转为生产点库存</w:t>
            </w:r>
          </w:p>
        </w:tc>
      </w:tr>
      <w:tr w14:paraId="70EE7C26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04DF4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57CA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分配</w:t>
            </w:r>
          </w:p>
        </w:tc>
        <w:tc>
          <w:tcPr>
            <w:tcW w:w="69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BB5C9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按制度规则确定主体可获得的数量或发运优先级</w:t>
            </w:r>
          </w:p>
        </w:tc>
      </w:tr>
      <w:tr w14:paraId="08E381A0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5F48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4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21A3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流通</w:t>
            </w:r>
          </w:p>
        </w:tc>
        <w:tc>
          <w:tcPr>
            <w:tcW w:w="69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790C4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市场式交换或计划式调拨形成实物转移指令</w:t>
            </w:r>
          </w:p>
        </w:tc>
      </w:tr>
      <w:tr w14:paraId="0E2F19BD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C37F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5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006B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运输</w:t>
            </w:r>
          </w:p>
        </w:tc>
        <w:tc>
          <w:tcPr>
            <w:tcW w:w="69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729E4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物资跨地块移动，并按距离和品类扣除途中损耗</w:t>
            </w:r>
          </w:p>
        </w:tc>
      </w:tr>
      <w:tr w14:paraId="6849EFEF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853C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6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080F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消费</w:t>
            </w:r>
          </w:p>
        </w:tc>
        <w:tc>
          <w:tcPr>
            <w:tcW w:w="698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735379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家庭从本地库存消费，随后更新满足率、健康与下一轮劳动能力</w:t>
            </w:r>
          </w:p>
        </w:tc>
      </w:tr>
    </w:tbl>
    <w:p w14:paraId="0ECA068B">
      <w:pPr>
        <w:spacing w:after="20"/>
      </w:pPr>
    </w:p>
    <w:p w14:paraId="6C0E155B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第一版不设置钟点日程、工作日和休息日。工作时间作为每轮内的劳动投入量L_actual记录，不再与现实日期绑定。</w:t>
      </w:r>
    </w:p>
    <w:p w14:paraId="0F61DFAA">
      <w:pPr>
        <w:pStyle w:val="3"/>
      </w:pPr>
      <w:r>
        <w:t>三 地图与空间位置</w:t>
      </w:r>
    </w:p>
    <w:p w14:paraId="295A69F4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地图仍采用中心地块加外围三圈的六边形结构，共37格。每项库存必须属于一个明确地点。生产点、公共仓储点和家庭住宅分别占据地块；跨地块变化必须形成运输事件。</w:t>
      </w:r>
      <w:bookmarkStart w:id="0" w:name="_GoBack"/>
      <w:bookmarkEnd w:id="0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3900D01A">
        <w:trPr>
          <w:tblHeader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20CA5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2E600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坐标或编号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BE9A8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说明</w:t>
            </w:r>
          </w:p>
        </w:tc>
      </w:tr>
      <w:tr w14:paraId="18B1B63F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2BE69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中央协调地块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7234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(0,0)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940E6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发布公共信息或计划指令，不自动持有库存</w:t>
            </w:r>
          </w:p>
        </w:tc>
      </w:tr>
      <w:tr w14:paraId="67EA5462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6FC9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东仓储点W1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B96D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(2,0)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B3217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保存东侧调拨库存</w:t>
            </w:r>
          </w:p>
        </w:tc>
      </w:tr>
      <w:tr w14:paraId="4B4451DD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CE44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西仓储点W2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B31D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(-2,0)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AF09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保存西侧调拨库存</w:t>
            </w:r>
          </w:p>
        </w:tc>
      </w:tr>
      <w:tr w14:paraId="1FC61370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E9FA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农场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A8F7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G1 (3,0); G2 (0,-3); G3 (-3,0); G4 (0,3)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72F50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区位生产率依次为1.15、1.05、0.95、0.85</w:t>
            </w:r>
          </w:p>
        </w:tc>
      </w:tr>
      <w:tr w14:paraId="3E8DE54E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EE8A7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铁矿</w:t>
            </w:r>
          </w:p>
        </w:tc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479E6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F1 (3,-3); F2 (-3,3)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B65D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铁生产点</w:t>
            </w:r>
          </w:p>
        </w:tc>
      </w:tr>
    </w:tbl>
    <w:p w14:paraId="2B6FF2CB">
      <w:pPr>
        <w:spacing w:after="20"/>
      </w:pPr>
    </w:p>
    <w:p w14:paraId="24FC23EA">
      <w:pPr>
        <w:pStyle w:val="3"/>
      </w:pPr>
      <w:r>
        <w:t>四 Agent参数与初始岗位</w:t>
      </w:r>
    </w:p>
    <w:p w14:paraId="2BC59BA2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本版删除理想粮食、理想工时、风险、服从和通勤五项行为偏好。Agent异质性只保留生产技能与生理禀赋。岗位仍是可调整状态，不是人格属性。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1666"/>
        <w:gridCol w:w="1666"/>
        <w:gridCol w:w="1666"/>
        <w:gridCol w:w="1666"/>
        <w:gridCol w:w="1666"/>
      </w:tblGrid>
      <w:tr w14:paraId="2653D618">
        <w:trPr>
          <w:tblHeader/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09D19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Agent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ED059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住宅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B998A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粮技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F237B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铁技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336E6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生理类型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9B22D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初始岗位</w:t>
            </w:r>
          </w:p>
        </w:tc>
      </w:tr>
      <w:tr w14:paraId="208D370C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FF49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A01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AAF0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(1,0)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794F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1.25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3A1B9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CEED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P1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7CBE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G1负责人</w:t>
            </w:r>
          </w:p>
        </w:tc>
      </w:tr>
      <w:tr w14:paraId="062762B2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6754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A02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192A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(1,-1)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9A38E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3FA78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1.25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18869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P2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B4C9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F1负责人</w:t>
            </w:r>
          </w:p>
        </w:tc>
      </w:tr>
      <w:tr w14:paraId="745CA805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25D0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A03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FAFC2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(0,-1)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4A5D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1.15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0E17E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1.15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11E91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P3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E7520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G2负责人</w:t>
            </w:r>
          </w:p>
        </w:tc>
      </w:tr>
      <w:tr w14:paraId="751D6D44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25EB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A04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F891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(-1,0)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AC2AB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0.85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F4F5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0.85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0D27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P4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E018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公共调度</w:t>
            </w:r>
          </w:p>
        </w:tc>
      </w:tr>
      <w:tr w14:paraId="1CFA0E65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7420F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269C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(-1,1)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F116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1.25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764A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9444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P2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B0132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G4</w:t>
            </w:r>
          </w:p>
        </w:tc>
      </w:tr>
      <w:tr w14:paraId="287A36B4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E012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A06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E43D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(0,1)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F2B8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AA689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1.25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787A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P3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E9070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F2负责人</w:t>
            </w:r>
          </w:p>
        </w:tc>
      </w:tr>
      <w:tr w14:paraId="664E57CE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6A18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A07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F55E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(2,-1)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8DFA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1.15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A4D2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1.15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6D37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P1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D1CBB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G1</w:t>
            </w:r>
          </w:p>
        </w:tc>
      </w:tr>
      <w:tr w14:paraId="34DC7F07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39164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A08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9081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(2,-2)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0231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0.85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E4F29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0.85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A692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P4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CDCA8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G2</w:t>
            </w:r>
          </w:p>
        </w:tc>
      </w:tr>
      <w:tr w14:paraId="24123698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F5F3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A09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E638E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(1,-2)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7F2A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1.25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F779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5EA94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P3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01D7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G2</w:t>
            </w:r>
          </w:p>
        </w:tc>
      </w:tr>
      <w:tr w14:paraId="0536DA78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9E4F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A10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DB33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(0,-2)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B634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C1EB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1.25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9091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P1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901DA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F1</w:t>
            </w:r>
          </w:p>
        </w:tc>
      </w:tr>
      <w:tr w14:paraId="415A0D87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E2375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A11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0CA3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(-1,-1)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006CD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1.15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4B2F1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1.15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B5F7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P4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3A1D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G3负责人</w:t>
            </w:r>
          </w:p>
        </w:tc>
      </w:tr>
      <w:tr w14:paraId="59F0AE7B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7FAB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A12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1126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(-2,1)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6D29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0.85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C879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0.85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1342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P2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1268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G4</w:t>
            </w:r>
          </w:p>
        </w:tc>
      </w:tr>
      <w:tr w14:paraId="2721F501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EB98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A13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11B6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(-2,2)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3B40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1.25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04ED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B152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P1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194F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G3</w:t>
            </w:r>
          </w:p>
        </w:tc>
      </w:tr>
      <w:tr w14:paraId="10F5833B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1165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A14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AF41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(-1,2)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A7AF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1FA6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1.25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B83C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P4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C970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F2</w:t>
            </w:r>
          </w:p>
        </w:tc>
      </w:tr>
      <w:tr w14:paraId="65457209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429F6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A15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2042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(0,2)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CB0C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1.15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6489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1.15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11D5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P2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6C57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G4负责人</w:t>
            </w:r>
          </w:p>
        </w:tc>
      </w:tr>
      <w:tr w14:paraId="50AB995E">
        <w:trPr>
          <w:jc w:val="center"/>
        </w:trPr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EAAE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A16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72C7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(1,1)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3B58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0.85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21AC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0.85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EB14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P3</w:t>
            </w:r>
          </w:p>
        </w:tc>
        <w:tc>
          <w:tcPr>
            <w:tcW w:w="16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467F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G1</w:t>
            </w:r>
          </w:p>
        </w:tc>
      </w:tr>
    </w:tbl>
    <w:p w14:paraId="79ABD78D">
      <w:pPr>
        <w:spacing w:after="20"/>
      </w:pPr>
    </w:p>
    <w:p w14:paraId="7E35E6A2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A04不再作为唯一物流人员。运输由环境依据调拨指令统一结算，因此A04的初始岗位改为公共调度，负责形成或转发调拨请求，但不拥有额外运力。</w:t>
      </w:r>
    </w:p>
    <w:p w14:paraId="09C4BFA4">
      <w:pPr>
        <w:pStyle w:val="4"/>
      </w:pPr>
      <w:r>
        <w:t>生理禀赋初始分组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1666"/>
        <w:gridCol w:w="1666"/>
        <w:gridCol w:w="1666"/>
        <w:gridCol w:w="1666"/>
        <w:gridCol w:w="1666"/>
      </w:tblGrid>
      <w:tr w14:paraId="31A6F159">
        <w:trPr>
          <w:tblHeader/>
          <w:jc w:val="center"/>
        </w:trPr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FAEA6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3B7C88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最低消费c_min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D8DEA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营养恢复α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ECB50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缺粮损伤β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247CC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安全工时h_safe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6E9DC3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超时损伤γ</w:t>
            </w:r>
          </w:p>
        </w:tc>
      </w:tr>
      <w:tr w14:paraId="17CDAC4B">
        <w:trPr>
          <w:jc w:val="center"/>
        </w:trPr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FAF4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P1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0C5D3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0.65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4E19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0.20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74DA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0.70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0B40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8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E9FD6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0.08</w:t>
            </w:r>
          </w:p>
        </w:tc>
      </w:tr>
      <w:tr w14:paraId="20328BAC">
        <w:trPr>
          <w:jc w:val="center"/>
        </w:trPr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627E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P2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BADE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0.70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1245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0.20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991D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0.80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3C38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8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41CE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0.10</w:t>
            </w:r>
          </w:p>
        </w:tc>
      </w:tr>
      <w:tr w14:paraId="3968D853">
        <w:trPr>
          <w:jc w:val="center"/>
        </w:trPr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DA76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P3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B76A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0.75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A715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0.25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C8C2B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1.00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8D46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7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503E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0.12</w:t>
            </w:r>
          </w:p>
        </w:tc>
      </w:tr>
      <w:tr w14:paraId="7B60A0DE">
        <w:trPr>
          <w:jc w:val="center"/>
        </w:trPr>
        <w:tc>
          <w:tcPr>
            <w:tcW w:w="11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378C5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P4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EBE1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0.70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1E95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0.20</w:t>
            </w:r>
          </w:p>
        </w:tc>
        <w:tc>
          <w:tcPr>
            <w:tcW w:w="1655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CF44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0.90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E029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6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1D36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0.15</w:t>
            </w:r>
          </w:p>
        </w:tc>
      </w:tr>
    </w:tbl>
    <w:p w14:paraId="6074F9E8">
      <w:pPr>
        <w:spacing w:after="20"/>
      </w:pPr>
    </w:p>
    <w:p w14:paraId="4EE16D40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这些参数是第一轮校准值，不代表现实估计。每种生理类型各分配4人，使均值稳定并避免技能类型与健康禀赋完全重合。所有Agent初始健康值设为8.0。</w:t>
      </w:r>
    </w:p>
    <w:p w14:paraId="409505E1">
      <w:pPr>
        <w:pStyle w:val="3"/>
      </w:pPr>
      <w:r>
        <w:t>五 生产技术</w:t>
      </w:r>
    </w:p>
    <w:p w14:paraId="29B8C59E">
      <w:pPr>
        <w:pStyle w:val="4"/>
      </w:pPr>
      <w:r>
        <w:t>谷物生产</w:t>
      </w:r>
    </w:p>
    <w:p w14:paraId="3C71BF9C">
      <w:pPr>
        <w:spacing w:before="100" w:after="80"/>
        <w:jc w:val="center"/>
      </w:pPr>
      <w:r>
        <w:rPr>
          <w:rFonts w:ascii="Noto Sans" w:hAnsi="Noto Sans" w:eastAsia="Cambria Math"/>
          <w:b/>
          <w:color w:val="20364A"/>
          <w:sz w:val="24"/>
        </w:rPr>
        <w:t>f_g(L)=0.32 min(L,60)+0.26 min(max(L-60,0),40)+0.18 min(max(L-100,0),30)</w:t>
      </w:r>
    </w:p>
    <w:p w14:paraId="44294965">
      <w:pPr>
        <w:spacing w:after="120"/>
        <w:jc w:val="center"/>
      </w:pPr>
      <w:r>
        <w:rPr>
          <w:rFonts w:ascii="Noto Sans" w:hAnsi="Noto Sans" w:eastAsia="Noto Sans CJK SC"/>
          <w:b w:val="0"/>
          <w:color w:val="5E6B75"/>
          <w:sz w:val="18"/>
        </w:rPr>
        <w:t>L为单个农场在本行动轮的有效劳动</w:t>
      </w:r>
    </w:p>
    <w:p w14:paraId="78E00631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该分段函数保留边际产量递减。前三个劳动区间的单位谷物劳动需求约为3.125、3.846和5.556小时。由于谷物成熟周期从13周缩短为1个行动轮，单个农场的轮容量从585折算为45单位。</w:t>
      </w:r>
    </w:p>
    <w:p w14:paraId="447EBC0E">
      <w:pPr>
        <w:spacing w:before="100" w:after="80"/>
        <w:jc w:val="center"/>
      </w:pPr>
      <w:r>
        <w:rPr>
          <w:rFonts w:ascii="Noto Sans" w:hAnsi="Noto Sans" w:eastAsia="Cambria Math"/>
          <w:b/>
          <w:color w:val="20364A"/>
          <w:sz w:val="24"/>
        </w:rPr>
        <w:t>Q_g,j(t)=min[A_j f_g(L_eff,j(t)), Q_input,j(t), 45]</w:t>
      </w:r>
    </w:p>
    <w:p w14:paraId="70880107">
      <w:pPr>
        <w:spacing w:after="120"/>
        <w:jc w:val="center"/>
      </w:pPr>
      <w:r>
        <w:rPr>
          <w:rFonts w:ascii="Noto Sans" w:hAnsi="Noto Sans" w:eastAsia="Noto Sans CJK SC"/>
          <w:b w:val="0"/>
          <w:color w:val="5E6B75"/>
          <w:sz w:val="18"/>
        </w:rPr>
        <w:t>A_j为区位系数；Q_input为铁投入能够支持的最大谷物产量</w:t>
      </w:r>
    </w:p>
    <w:p w14:paraId="1978F677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谷物铁耗系数仍设为0.08铁/谷物，因此Q_input=I_iron/0.08。第一版没有播种、生长、成熟和收获四阶段，也不使用阶段完成度M_stage。达到k_g轮后，产量在收获环节一次性进入农场库存。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1999"/>
        <w:gridCol w:w="1999"/>
        <w:gridCol w:w="1999"/>
        <w:gridCol w:w="1999"/>
      </w:tblGrid>
      <w:tr w14:paraId="6EF31A43">
        <w:trPr>
          <w:tblHeader/>
          <w:jc w:val="center"/>
        </w:trPr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99639C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农场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4FF19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区位系数A_j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DE496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初始人员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3EDDD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基准有效劳动示例</w:t>
            </w:r>
          </w:p>
        </w:tc>
        <w:tc>
          <w:tcPr>
            <w:tcW w:w="23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FC4ED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无投入约束时产量</w:t>
            </w:r>
          </w:p>
        </w:tc>
      </w:tr>
      <w:tr w14:paraId="2E6300D1">
        <w:trPr>
          <w:jc w:val="center"/>
        </w:trPr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4BE9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G1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6C03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1.15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73998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A01 A07 A16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3490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约96</w:t>
            </w:r>
          </w:p>
        </w:tc>
        <w:tc>
          <w:tcPr>
            <w:tcW w:w="23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B789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约35.9</w:t>
            </w:r>
          </w:p>
        </w:tc>
      </w:tr>
      <w:tr w14:paraId="1B024A96">
        <w:trPr>
          <w:jc w:val="center"/>
        </w:trPr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A6C45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G2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783F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1.05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3944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A03 A08 A09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A3EA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约96</w:t>
            </w:r>
          </w:p>
        </w:tc>
        <w:tc>
          <w:tcPr>
            <w:tcW w:w="23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E86ED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约32.8</w:t>
            </w:r>
          </w:p>
        </w:tc>
      </w:tr>
      <w:tr w14:paraId="504B49C5">
        <w:trPr>
          <w:jc w:val="center"/>
        </w:trPr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3240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G3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ED4D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0.95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4327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A11 A13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6CAD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约64</w:t>
            </w:r>
          </w:p>
        </w:tc>
        <w:tc>
          <w:tcPr>
            <w:tcW w:w="23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0904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约20.3</w:t>
            </w:r>
          </w:p>
        </w:tc>
      </w:tr>
      <w:tr w14:paraId="727B1C24">
        <w:trPr>
          <w:jc w:val="center"/>
        </w:trPr>
        <w:tc>
          <w:tcPr>
            <w:tcW w:w="122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D579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G4</w:t>
            </w:r>
          </w:p>
        </w:tc>
        <w:tc>
          <w:tcPr>
            <w:tcW w:w="151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FF0F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0.85</w:t>
            </w:r>
          </w:p>
        </w:tc>
        <w:tc>
          <w:tcPr>
            <w:tcW w:w="23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916E0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A05 A12 A15</w:t>
            </w:r>
          </w:p>
        </w:tc>
        <w:tc>
          <w:tcPr>
            <w:tcW w:w="25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D970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约96</w:t>
            </w:r>
          </w:p>
        </w:tc>
        <w:tc>
          <w:tcPr>
            <w:tcW w:w="23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3A06B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约26.5</w:t>
            </w:r>
          </w:p>
        </w:tc>
      </w:tr>
    </w:tbl>
    <w:p w14:paraId="781ECE82">
      <w:pPr>
        <w:spacing w:after="20"/>
      </w:pPr>
    </w:p>
    <w:p w14:paraId="51C73DA6">
      <w:pPr>
        <w:pStyle w:val="4"/>
      </w:pPr>
      <w:r>
        <w:t>铁生产</w:t>
      </w:r>
    </w:p>
    <w:p w14:paraId="08BAB619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铁业按行动轮连续生产，不设置季节或车辆约束。第一版可继续使用线性基准：每单位有效劳动形成0.95单位基础铁产出，再乘矿点生产率系数。</w:t>
      </w:r>
    </w:p>
    <w:p w14:paraId="042C4270">
      <w:pPr>
        <w:spacing w:before="100" w:after="80"/>
        <w:jc w:val="center"/>
      </w:pPr>
      <w:r>
        <w:rPr>
          <w:rFonts w:ascii="Noto Sans" w:hAnsi="Noto Sans" w:eastAsia="Cambria Math"/>
          <w:b/>
          <w:color w:val="20364A"/>
          <w:sz w:val="24"/>
        </w:rPr>
        <w:t>Q_fe,k(t)=min[A_fe,k L_eff,k(t) x 0.95, K_fe,k]</w:t>
      </w:r>
    </w:p>
    <w:p w14:paraId="7E1EB005">
      <w:pPr>
        <w:spacing w:after="120"/>
        <w:jc w:val="center"/>
      </w:pPr>
      <w:r>
        <w:rPr>
          <w:rFonts w:ascii="Noto Sans" w:hAnsi="Noto Sans" w:eastAsia="Noto Sans CJK SC"/>
          <w:b w:val="0"/>
          <w:color w:val="5E6B75"/>
          <w:sz w:val="18"/>
        </w:rPr>
        <w:t>A_fe,F1=1.10，A_fe,F2=0.90；K_fe,k为矿点每轮产能</w:t>
      </w:r>
    </w:p>
    <w:p w14:paraId="44BF13FF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铁矿储量衰减暂不进入基准版，以免把资源耗竭与制度协调混在一起。资源衰减作为后续开关模块保留。</w:t>
      </w:r>
    </w:p>
    <w:p w14:paraId="3AB30305">
      <w:pPr>
        <w:pStyle w:val="3"/>
      </w:pPr>
      <w:r>
        <w:t>六 库存与仓储</w:t>
      </w:r>
    </w:p>
    <w:p w14:paraId="3855E1C1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所有物资必须位于确定地点。农场、铁矿、公共仓储点和家庭分别维护库存；同一批物资不能同时出现在两个地点。</w:t>
      </w:r>
    </w:p>
    <w:p w14:paraId="1D9E9D58">
      <w:pPr>
        <w:spacing w:before="100" w:after="80"/>
        <w:jc w:val="center"/>
      </w:pPr>
      <w:r>
        <w:rPr>
          <w:rFonts w:ascii="Noto Sans" w:hAnsi="Noto Sans" w:eastAsia="Cambria Math"/>
          <w:b/>
          <w:color w:val="20364A"/>
          <w:sz w:val="24"/>
        </w:rPr>
        <w:t>I_x,l(t+1)=I_x,l(t)+Q_x,l(t)+In_x,l(t)-Use_x,l(t)-Out_x,l(t)-Loss_x,l(t)</w:t>
      </w:r>
    </w:p>
    <w:p w14:paraId="0DCC4BC0">
      <w:pPr>
        <w:spacing w:after="120"/>
        <w:jc w:val="center"/>
      </w:pPr>
      <w:r>
        <w:rPr>
          <w:rFonts w:ascii="Noto Sans" w:hAnsi="Noto Sans" w:eastAsia="Noto Sans CJK SC"/>
          <w:b w:val="0"/>
          <w:color w:val="5E6B75"/>
          <w:sz w:val="18"/>
        </w:rPr>
        <w:t>x表示谷物或铁，l表示具体地块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1999"/>
        <w:gridCol w:w="1999"/>
        <w:gridCol w:w="1999"/>
        <w:gridCol w:w="1999"/>
      </w:tblGrid>
      <w:tr w14:paraId="084A6CDF">
        <w:trPr>
          <w:tblHeader/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4D266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地点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6BBE7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谷物容量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471E7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铁容量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D81474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初始谷物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7208B1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初始铁</w:t>
            </w:r>
          </w:p>
        </w:tc>
      </w:tr>
      <w:tr w14:paraId="76997568"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78CD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每户家庭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462F3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14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2CC5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BFDB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7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90DB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0</w:t>
            </w:r>
          </w:p>
        </w:tc>
      </w:tr>
      <w:tr w14:paraId="4DEC2622"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22AB8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每个农场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56C9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60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145B5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15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3825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B598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4</w:t>
            </w:r>
          </w:p>
        </w:tc>
      </w:tr>
      <w:tr w14:paraId="111FDAFE"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CDD2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每个铁矿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F22B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0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BD7A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30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BA3D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0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1D7C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0</w:t>
            </w:r>
          </w:p>
        </w:tc>
      </w:tr>
      <w:tr w14:paraId="104745EE"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C709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W1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AECC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900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B3633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80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308C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784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77592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12</w:t>
            </w:r>
          </w:p>
        </w:tc>
      </w:tr>
      <w:tr w14:paraId="0288132A">
        <w:trPr>
          <w:jc w:val="center"/>
        </w:trPr>
        <w:tc>
          <w:tcPr>
            <w:tcW w:w="20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1616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W2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F2375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900</w:t>
            </w:r>
          </w:p>
        </w:tc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AECA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80</w:t>
            </w:r>
          </w:p>
        </w:tc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E6AA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784</w:t>
            </w:r>
          </w:p>
        </w:tc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15F2D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12</w:t>
            </w:r>
          </w:p>
        </w:tc>
      </w:tr>
    </w:tbl>
    <w:p w14:paraId="050EEFB0">
      <w:pPr>
        <w:spacing w:after="20"/>
      </w:pPr>
    </w:p>
    <w:p w14:paraId="58C725E7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第一版取消季节性损耗表。静态仓储暂设无损耗，只有跨地块运输产生物资损失。后续可以单独加入腐坏与仓储成本。</w:t>
      </w:r>
    </w:p>
    <w:p w14:paraId="0397AF1B">
      <w:pPr>
        <w:pStyle w:val="3"/>
      </w:pPr>
      <w:r>
        <w:t>七 运输损耗</w:t>
      </w:r>
    </w:p>
    <w:p w14:paraId="379F231C">
      <w:pPr>
        <w:keepLines w:val="0"/>
        <w:ind w:firstLine="420"/>
      </w:pPr>
      <w:r>
        <w:t>运输不再通过两辆货车模拟。制度或Agent只需提交起点、终点、商品种类与发运量，环境根据六边形最短距离结算到货量。第一版不设置司机、装卸时间、道路拥堵和运力上限。固定损耗以“每条调拨指令”为结算单位；同品类、同起点、同终点的需求如果合并成一条指令，只计算一次固定损耗。</w:t>
      </w:r>
    </w:p>
    <w:p w14:paraId="4944990D">
      <w:pPr>
        <w:spacing w:before="100" w:after="80"/>
        <w:jc w:val="center"/>
      </w:pPr>
      <w:r>
        <w:t>Q_arrive</w:t>
      </w:r>
      <w:r>
        <w:rPr>
          <w:rFonts w:hint="default"/>
          <w:lang w:val="en-US"/>
        </w:rPr>
        <w:t>_</w:t>
      </w:r>
      <w:r>
        <w:t>x = max[Q_send</w:t>
      </w:r>
      <w:r>
        <w:rPr>
          <w:rFonts w:hint="default"/>
          <w:lang w:val="en-US"/>
        </w:rPr>
        <w:t>_</w:t>
      </w:r>
      <w:r>
        <w:t>x - ell_x d, 0]</w:t>
      </w:r>
    </w:p>
    <w:p w14:paraId="21BF0B29">
      <w:pPr>
        <w:spacing w:after="120"/>
        <w:jc w:val="center"/>
      </w:pPr>
      <w:r>
        <w:t>d为最短跨格数；ell_x为商品x每跨一格、每条调拨指令的固定绝对损耗量</w:t>
      </w:r>
    </w:p>
    <w:p w14:paraId="0AFA8606">
      <w:pPr>
        <w:spacing w:before="100" w:after="80"/>
        <w:jc w:val="center"/>
      </w:pPr>
      <w:r>
        <w:t>Loss_transport</w:t>
      </w:r>
      <w:r>
        <w:rPr>
          <w:rFonts w:hint="default"/>
          <w:lang w:val="en-US"/>
        </w:rPr>
        <w:t>_</w:t>
      </w:r>
      <w:r>
        <w:t>x = min[Q_send</w:t>
      </w:r>
      <w:r>
        <w:rPr>
          <w:rFonts w:hint="default"/>
          <w:lang w:val="en-US"/>
        </w:rPr>
        <w:t>_</w:t>
      </w:r>
      <w:r>
        <w:t>x, ell_x d]</w:t>
      </w:r>
    </w:p>
    <w:p w14:paraId="5B6E71F0">
      <w:pPr>
        <w:spacing w:after="120"/>
        <w:jc w:val="center"/>
      </w:pPr>
      <w:r>
        <w:t>发运量先从起点库存扣除；固定运输损耗不进入终点库存，终点只增加Q_arrive</w:t>
      </w:r>
      <w:r>
        <w:rPr>
          <w:rFonts w:hint="default"/>
          <w:lang w:val="en-US"/>
        </w:rPr>
        <w:t>_</w:t>
      </w:r>
      <w:r>
        <w:t>x。若Q_send</w:t>
      </w:r>
      <w:r>
        <w:rPr>
          <w:rFonts w:hint="default"/>
          <w:lang w:val="en-US"/>
        </w:rPr>
        <w:t>_</w:t>
      </w:r>
      <w:r>
        <w:t>x不超过ell_x d，则本次发运全部损失，到货量为0。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0B834CC8">
        <w:trPr>
          <w:tblHeader/>
          <w:jc w:val="center"/>
        </w:trPr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492B6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商品</w:t>
            </w:r>
          </w:p>
        </w:tc>
        <w:tc>
          <w:tcPr>
            <w:tcW w:w="27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8D97E7">
            <w:r>
              <w:t>每格每次固定损耗量 ell_x</w:t>
            </w:r>
          </w:p>
        </w:tc>
        <w:tc>
          <w:tcPr>
            <w:tcW w:w="54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1F7AC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解释</w:t>
            </w:r>
          </w:p>
        </w:tc>
      </w:tr>
      <w:tr w14:paraId="1798B99C">
        <w:trPr>
          <w:jc w:val="center"/>
        </w:trPr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67EDA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谷物</w:t>
            </w:r>
          </w:p>
        </w:tc>
        <w:tc>
          <w:tcPr>
            <w:tcW w:w="27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A31C1">
            <w:r>
              <w:t>0.05单位/格/次</w:t>
            </w:r>
          </w:p>
        </w:tc>
        <w:tc>
          <w:tcPr>
            <w:tcW w:w="54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31C524">
            <w:r>
              <w:t>与发运量无关；同路线合并发运可降低单位损耗</w:t>
            </w:r>
          </w:p>
        </w:tc>
      </w:tr>
      <w:tr w14:paraId="34DD9926">
        <w:trPr>
          <w:jc w:val="center"/>
        </w:trPr>
        <w:tc>
          <w:tcPr>
            <w:tcW w:w="17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EFBE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铁</w:t>
            </w:r>
          </w:p>
        </w:tc>
        <w:tc>
          <w:tcPr>
            <w:tcW w:w="27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C055C">
            <w:r>
              <w:t>0.02单位/格/次</w:t>
            </w:r>
          </w:p>
        </w:tc>
        <w:tc>
          <w:tcPr>
            <w:tcW w:w="547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14231">
            <w:r>
              <w:t>反映搬运散失；到货量下限为0</w:t>
            </w:r>
          </w:p>
        </w:tc>
      </w:tr>
    </w:tbl>
    <w:p w14:paraId="10ED560E">
      <w:pPr>
        <w:spacing w:after="20"/>
      </w:pPr>
      <w:r>
        <w:t>单位运输损耗率 = Loss_transport</w:t>
      </w:r>
      <w:r>
        <w:rPr>
          <w:rFonts w:hint="default"/>
          <w:lang w:val="en-US"/>
        </w:rPr>
        <w:t>_</w:t>
      </w:r>
      <w:r>
        <w:t>x / Q_send</w:t>
      </w:r>
      <w:r>
        <w:rPr>
          <w:rFonts w:hint="default"/>
          <w:lang w:val="en-US"/>
        </w:rPr>
        <w:t>_</w:t>
      </w:r>
      <w:r>
        <w:t>x。在线路和商品相同的条件下，发运量越大，单位损耗率越低，因此模型内生地形成运输规模效应。</w:t>
      </w:r>
    </w:p>
    <w:p w14:paraId="1F27B910">
      <w:pPr>
        <w:keepLines w:val="0"/>
        <w:ind w:firstLine="420"/>
      </w:pPr>
      <w:r>
        <w:t>例如，谷物固定损耗为0.05单位/格/次。发运100单位谷物并跨越3格，到货99.85，损耗0.15；若只发运1单位，到货0.85，损耗仍为0.15。铁固定损耗为0.02单位/格/次，发运10单位铁跨越3格，到货9.94，损耗0.06。所有小数在内部保留，展示时四舍五入。</w:t>
      </w:r>
    </w:p>
    <w:p w14:paraId="7214EC4D">
      <w:pPr>
        <w:keepLines w:val="0"/>
        <w:ind w:firstLine="420"/>
      </w:pPr>
      <w:r>
        <w:t>这一设定保留了空间距离的经济代价，并使合并发运具有优势，但不绑定具体车辆。第一版基准值设为谷物0.05单位/格/次、铁0.02单位/格/次。敏感性分析建议分别测试谷物0.02、0.05、0.08和铁0.01、0.02、0.04；测试值是离散校准情景，不作为Agent可自行选择的范围。</w:t>
      </w:r>
    </w:p>
    <w:p w14:paraId="05573288">
      <w:pPr>
        <w:pStyle w:val="3"/>
      </w:pPr>
      <w:r>
        <w:t>八 消费与健康</w:t>
      </w:r>
    </w:p>
    <w:p w14:paraId="0086B253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本版不再设置理想消费。每个Agent只有基本消费需求c_min,i，它属于生理禀赋。消费满足率只衡量基本需求是否得到满足。</w:t>
      </w:r>
    </w:p>
    <w:p w14:paraId="058EA2F4">
      <w:pPr>
        <w:spacing w:before="100" w:after="80"/>
        <w:jc w:val="center"/>
      </w:pPr>
      <w:r>
        <w:rPr>
          <w:rFonts w:ascii="Noto Sans" w:hAnsi="Noto Sans" w:eastAsia="Cambria Math"/>
          <w:b/>
          <w:color w:val="20364A"/>
          <w:sz w:val="24"/>
        </w:rPr>
        <w:t>S_i(t)=min[1, c_i(t)/c_min,i]</w:t>
      </w:r>
    </w:p>
    <w:p w14:paraId="2FA914EF">
      <w:pPr>
        <w:spacing w:after="120"/>
        <w:jc w:val="center"/>
      </w:pPr>
      <w:r>
        <w:rPr>
          <w:rFonts w:ascii="Noto Sans" w:hAnsi="Noto Sans" w:eastAsia="Noto Sans CJK SC"/>
          <w:b w:val="0"/>
          <w:color w:val="5E6B75"/>
          <w:sz w:val="18"/>
        </w:rPr>
        <w:t>S_i=1表示本轮基本消费需求得到满足</w:t>
      </w:r>
    </w:p>
    <w:p w14:paraId="7E179A41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健康值改为0至10。健康更新同时考虑消费和实际工作时间，并允许关键系数因人而异。</w:t>
      </w:r>
    </w:p>
    <w:p w14:paraId="4A663C3F">
      <w:pPr>
        <w:spacing w:before="100" w:after="80"/>
        <w:jc w:val="center"/>
      </w:pPr>
      <w:r>
        <w:rPr>
          <w:rFonts w:ascii="Noto Sans" w:hAnsi="Noto Sans" w:eastAsia="Cambria Math"/>
          <w:b/>
          <w:color w:val="20364A"/>
          <w:sz w:val="24"/>
        </w:rPr>
        <w:t>H_i(t+1)=clip[H_i(t)+alpha_i max(c_i-c_min,i,0)-beta_i max(c_min,i-c_i,0)-gamma_i max(L_actual,i-h_safe,i,0), 0, 10]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7785DD08">
        <w:trPr>
          <w:tblHeader/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49720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参数</w:t>
            </w:r>
          </w:p>
        </w:tc>
        <w:tc>
          <w:tcPr>
            <w:tcW w:w="80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9223D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含义</w:t>
            </w:r>
          </w:p>
        </w:tc>
      </w:tr>
      <w:tr w14:paraId="1771A2C6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FEAF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c_min,i</w:t>
            </w:r>
          </w:p>
        </w:tc>
        <w:tc>
          <w:tcPr>
            <w:tcW w:w="80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C07F1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Agent i每轮的基本消费需求</w:t>
            </w:r>
          </w:p>
        </w:tc>
      </w:tr>
      <w:tr w14:paraId="0B1C980F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AB700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alpha_i</w:t>
            </w:r>
          </w:p>
        </w:tc>
        <w:tc>
          <w:tcPr>
            <w:tcW w:w="80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F7235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消费超过基本需求时的健康恢复速度</w:t>
            </w:r>
          </w:p>
        </w:tc>
      </w:tr>
      <w:tr w14:paraId="14AB25AD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32492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beta_i</w:t>
            </w:r>
          </w:p>
        </w:tc>
        <w:tc>
          <w:tcPr>
            <w:tcW w:w="80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E48B7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消费低于基本需求时的健康损伤速度</w:t>
            </w:r>
          </w:p>
        </w:tc>
      </w:tr>
      <w:tr w14:paraId="094792AE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B8513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h_safe,i</w:t>
            </w:r>
          </w:p>
        </w:tc>
        <w:tc>
          <w:tcPr>
            <w:tcW w:w="80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13655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不产生超时损伤的安全工作时数</w:t>
            </w:r>
          </w:p>
        </w:tc>
      </w:tr>
      <w:tr w14:paraId="367FEE8E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C3F7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gamma_i</w:t>
            </w:r>
          </w:p>
        </w:tc>
        <w:tc>
          <w:tcPr>
            <w:tcW w:w="80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A5F7A0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每超出1小时造成的健康损伤</w:t>
            </w:r>
          </w:p>
        </w:tc>
      </w:tr>
      <w:tr w14:paraId="24E18B41">
        <w:trPr>
          <w:jc w:val="center"/>
        </w:trPr>
        <w:tc>
          <w:tcPr>
            <w:tcW w:w="194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2204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clip[·,0,10]</w:t>
            </w:r>
          </w:p>
        </w:tc>
        <w:tc>
          <w:tcPr>
            <w:tcW w:w="806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E0BE2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健康值限制在0至10之间</w:t>
            </w:r>
          </w:p>
        </w:tc>
      </w:tr>
    </w:tbl>
    <w:p w14:paraId="48E8EC50">
      <w:pPr>
        <w:spacing w:after="20"/>
      </w:pPr>
    </w:p>
    <w:p w14:paraId="2C193ADB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例如，P3型Agent本轮消费0.60、实际工作9小时、期初健康8.0。其c_min=0.75、β=1.00、h_safe=7、γ=0.12，因此健康变化为-1.00×0.15-0.12×2=-0.39，期末健康为7.61。</w:t>
      </w:r>
    </w:p>
    <w:p w14:paraId="20F93845">
      <w:pPr>
        <w:pStyle w:val="4"/>
      </w:pPr>
      <w:r>
        <w:t>健康对劳动的反馈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097CEB48">
        <w:trPr>
          <w:tblHeader/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A788B9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9"/>
              </w:rPr>
              <w:t>健康值H</w:t>
            </w:r>
          </w:p>
        </w:tc>
        <w:tc>
          <w:tcPr>
            <w:tcW w:w="64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D7206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9"/>
              </w:rPr>
              <w:t>健康劳动系数m_health</w:t>
            </w:r>
          </w:p>
        </w:tc>
      </w:tr>
      <w:tr w14:paraId="2D066B7B"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80E21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8至10</w:t>
            </w:r>
          </w:p>
        </w:tc>
        <w:tc>
          <w:tcPr>
            <w:tcW w:w="64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85511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1.00</w:t>
            </w:r>
          </w:p>
        </w:tc>
      </w:tr>
      <w:tr w14:paraId="02DB01FC"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5291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6至不足8</w:t>
            </w:r>
          </w:p>
        </w:tc>
        <w:tc>
          <w:tcPr>
            <w:tcW w:w="64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F77408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0.90</w:t>
            </w:r>
          </w:p>
        </w:tc>
      </w:tr>
      <w:tr w14:paraId="3F235EB4"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59AB7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4至不足6</w:t>
            </w:r>
          </w:p>
        </w:tc>
        <w:tc>
          <w:tcPr>
            <w:tcW w:w="64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7C37A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0.75</w:t>
            </w:r>
          </w:p>
        </w:tc>
      </w:tr>
      <w:tr w14:paraId="174F7787"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9EC2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2至不足4</w:t>
            </w:r>
          </w:p>
        </w:tc>
        <w:tc>
          <w:tcPr>
            <w:tcW w:w="64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2B3D4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0.50</w:t>
            </w:r>
          </w:p>
        </w:tc>
      </w:tr>
      <w:tr w14:paraId="69FE1B87"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2FBA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大于0且不足2</w:t>
            </w:r>
          </w:p>
        </w:tc>
        <w:tc>
          <w:tcPr>
            <w:tcW w:w="64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9F179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0.25</w:t>
            </w:r>
          </w:p>
        </w:tc>
      </w:tr>
      <w:tr w14:paraId="61774E56">
        <w:trPr>
          <w:jc w:val="center"/>
        </w:trPr>
        <w:tc>
          <w:tcPr>
            <w:tcW w:w="36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FF19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0</w:t>
            </w:r>
          </w:p>
        </w:tc>
        <w:tc>
          <w:tcPr>
            <w:tcW w:w="640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372C7D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9"/>
              </w:rPr>
              <w:t>0</w:t>
            </w:r>
          </w:p>
        </w:tc>
      </w:tr>
    </w:tbl>
    <w:p w14:paraId="0A6E9168">
      <w:pPr>
        <w:spacing w:after="20"/>
      </w:pPr>
    </w:p>
    <w:p w14:paraId="774EB812">
      <w:pPr>
        <w:spacing w:before="100" w:after="80"/>
        <w:jc w:val="center"/>
      </w:pPr>
      <w:r>
        <w:rPr>
          <w:rFonts w:ascii="Noto Sans" w:hAnsi="Noto Sans" w:eastAsia="Cambria Math"/>
          <w:b/>
          <w:color w:val="20364A"/>
          <w:sz w:val="24"/>
        </w:rPr>
        <w:t>m_acute,i(t+1)=0.6+0.4 min[1,c_i(t)/c_min,i]</w:t>
      </w:r>
    </w:p>
    <w:p w14:paraId="3CD94DC8">
      <w:pPr>
        <w:spacing w:after="120"/>
        <w:jc w:val="center"/>
      </w:pPr>
      <w:r>
        <w:rPr>
          <w:rFonts w:ascii="Noto Sans" w:hAnsi="Noto Sans" w:eastAsia="Noto Sans CJK SC"/>
          <w:b w:val="0"/>
          <w:color w:val="5E6B75"/>
          <w:sz w:val="18"/>
        </w:rPr>
        <w:t>反映本轮消费不足对下一轮劳动的即时影响</w:t>
      </w:r>
    </w:p>
    <w:p w14:paraId="7427D104">
      <w:pPr>
        <w:spacing w:before="100" w:after="80"/>
        <w:jc w:val="center"/>
      </w:pPr>
      <w:r>
        <w:rPr>
          <w:rFonts w:ascii="Noto Sans" w:hAnsi="Noto Sans" w:eastAsia="Cambria Math"/>
          <w:b/>
          <w:color w:val="20364A"/>
          <w:sz w:val="24"/>
        </w:rPr>
        <w:t>L_eff,i=L_actual,i x skill_i x m_health,i x m_acute,i x m_illness,i</w:t>
      </w:r>
    </w:p>
    <w:p w14:paraId="70CFD7AC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健康值为0时，Agent进入暂时失能状态。本版不设置永久死亡。疾病模块可以在物理内核稳定后作为独立冲击加入。</w:t>
      </w:r>
    </w:p>
    <w:p w14:paraId="4910A07F">
      <w:pPr>
        <w:pStyle w:val="3"/>
      </w:pPr>
      <w:r>
        <w:t>九 短缺分配与家庭领取</w:t>
      </w:r>
    </w:p>
    <w:p w14:paraId="0D3FBF5E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第一版没有货币和劳动券，因此家庭是否获得谷物只受可供量、分配结果、家庭库存容量和运输结果约束。家庭请求量以基本消费和固定安全库存为依据，不再使用风险承受度推导目标储备。</w:t>
      </w:r>
    </w:p>
    <w:p w14:paraId="145B0AA2">
      <w:pPr>
        <w:spacing w:before="100" w:after="80"/>
        <w:jc w:val="center"/>
      </w:pPr>
      <w:r>
        <w:rPr>
          <w:rFonts w:ascii="Noto Sans" w:hAnsi="Noto Sans" w:eastAsia="Cambria Math"/>
          <w:b/>
          <w:color w:val="20364A"/>
          <w:sz w:val="24"/>
        </w:rPr>
        <w:t>q_receive,i=min[q_request,i, q_allocated,i, household_capacity-I_home,i]</w:t>
      </w:r>
    </w:p>
    <w:p w14:paraId="74CADC80">
      <w:pPr>
        <w:spacing w:after="120"/>
        <w:jc w:val="center"/>
      </w:pPr>
      <w:r>
        <w:t>若需要跨地块领取，最终进入家庭库存的是扣除固定绝对运输损耗后的到货量；多个小额请求合并为同一路线的一条调拨指令时，只结算一次固定损耗。</w:t>
      </w:r>
    </w:p>
    <w:p w14:paraId="076C37CF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建议所有家庭使用统一的7轮安全库存目标。家庭请求量等于目标库存与当前家庭库存的正差，再受仓库可供量限制。发生短缺时，以固定随机种子随机排列家庭，并在基本需求范围内逐单位分配。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37947FF7">
        <w:trPr>
          <w:tblHeader/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8D45C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w="8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30B11E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规则</w:t>
            </w:r>
          </w:p>
        </w:tc>
      </w:tr>
      <w:tr w14:paraId="59BF452A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A6CFC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w="8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6C5A7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统计各家庭下一轮基本需求与本地库存缺口</w:t>
            </w:r>
          </w:p>
        </w:tc>
      </w:tr>
      <w:tr w14:paraId="57487347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D9BC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w="8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F396D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计算公共仓储和生产点可调拨量</w:t>
            </w:r>
          </w:p>
        </w:tc>
      </w:tr>
      <w:tr w14:paraId="1A743660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1808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w="8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4F337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使用共同随机种子随机排列家庭</w:t>
            </w:r>
          </w:p>
        </w:tc>
      </w:tr>
      <w:tr w14:paraId="233B0542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96BBE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4</w:t>
            </w:r>
          </w:p>
        </w:tc>
        <w:tc>
          <w:tcPr>
            <w:tcW w:w="8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7525C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在基本需求上限内逐单位分配</w:t>
            </w:r>
          </w:p>
        </w:tc>
      </w:tr>
      <w:tr w14:paraId="1DCD8C26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879B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5</w:t>
            </w:r>
          </w:p>
        </w:tc>
        <w:tc>
          <w:tcPr>
            <w:tcW w:w="8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596B13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形成调拨指令并结算运输损耗</w:t>
            </w:r>
          </w:p>
        </w:tc>
      </w:tr>
      <w:tr w14:paraId="2FC76887">
        <w:trPr>
          <w:jc w:val="center"/>
        </w:trPr>
        <w:tc>
          <w:tcPr>
            <w:tcW w:w="108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3971D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6</w:t>
            </w:r>
          </w:p>
        </w:tc>
        <w:tc>
          <w:tcPr>
            <w:tcW w:w="892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6B756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到货后更新家庭库存，再执行消费</w:t>
            </w:r>
          </w:p>
        </w:tc>
      </w:tr>
    </w:tbl>
    <w:p w14:paraId="5214EEA8">
      <w:pPr>
        <w:spacing w:after="20"/>
      </w:pPr>
    </w:p>
    <w:p w14:paraId="183F02F6">
      <w:pPr>
        <w:pStyle w:val="3"/>
      </w:pPr>
      <w:r>
        <w:t>十 信息与LLM行动架构</w:t>
      </w:r>
    </w:p>
    <w:p w14:paraId="2FA30F1F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环境后台保存完整真实账本，但每个LLM只能读取权限范围内的局部信息。普通Agent知道自己的位置、库存、健康、技能、岗位、收到的消息和公共规则；到达或被授权查询某生产点、仓储点后，才能看到相应本地信息。</w:t>
      </w:r>
    </w:p>
    <w:p w14:paraId="02141FA5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每个行动轮开始时，环境生成可见状态。Agent或制度主体从菜单中提交结构化行动。环境返回SUCCESS、PARTIAL或FAILED，并说明可执行数量与失败原因。无效输出经一次格式修复后仍不可执行时，系统采用确定性后备规则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7A48F214">
        <w:trPr>
          <w:tblHeader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754E53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行动类型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9B0FE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必要字段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031CD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环境检查</w:t>
            </w:r>
          </w:p>
        </w:tc>
      </w:tr>
      <w:tr w14:paraId="7D9FB5AC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5DC0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劳动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2828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地点、部门、工时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BA2E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岗位权限、健康、技能与投入品</w:t>
            </w:r>
          </w:p>
        </w:tc>
      </w:tr>
      <w:tr w14:paraId="6DCD58AD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72DA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请求谷物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7212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请求量、来源偏好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2689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家庭容量和可见库存</w:t>
            </w:r>
          </w:p>
        </w:tc>
      </w:tr>
      <w:tr w14:paraId="32F09636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0FE4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调拨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5822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起点、终点、商品、数量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7D06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起点库存、权限与地图距离</w:t>
            </w:r>
          </w:p>
        </w:tc>
      </w:tr>
      <w:tr w14:paraId="0ABB33DB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87EC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报告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147E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对象、字段、解释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8AD0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信息权限与格式</w:t>
            </w:r>
          </w:p>
        </w:tc>
      </w:tr>
      <w:tr w14:paraId="3BBE17BF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B506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休息</w:t>
            </w:r>
          </w:p>
        </w:tc>
        <w:tc>
          <w:tcPr>
            <w:tcW w:w="381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C677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本轮不再增加工作时间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4E899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无需物资结算</w:t>
            </w:r>
          </w:p>
        </w:tc>
      </w:tr>
    </w:tbl>
    <w:p w14:paraId="54AF3BAC">
      <w:pPr>
        <w:spacing w:after="20"/>
      </w:pPr>
    </w:p>
    <w:p w14:paraId="75ABF4D4">
      <w:pPr>
        <w:pStyle w:val="3"/>
      </w:pPr>
      <w:r>
        <w:t>十一 初始状态与第一轮校准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7C634B82">
        <w:trPr>
          <w:tblHeader/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AF3EF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CFAFD0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基准值</w:t>
            </w:r>
          </w:p>
        </w:tc>
      </w:tr>
      <w:tr w14:paraId="0E3731A5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1CE9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行动轮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C879A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</w:t>
            </w:r>
          </w:p>
        </w:tc>
      </w:tr>
      <w:tr w14:paraId="5448E5F3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73A9B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谷物成熟周期k_g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2E550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</w:t>
            </w:r>
          </w:p>
        </w:tc>
      </w:tr>
      <w:tr w14:paraId="46A2B3CD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77C3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计划期k_p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4469DE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</w:t>
            </w:r>
          </w:p>
        </w:tc>
      </w:tr>
      <w:tr w14:paraId="587990EF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804E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家庭数量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2CA41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16</w:t>
            </w:r>
          </w:p>
        </w:tc>
      </w:tr>
      <w:tr w14:paraId="6C7821EB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CD19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初始健康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84F53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8.0/人</w:t>
            </w:r>
          </w:p>
        </w:tc>
      </w:tr>
      <w:tr w14:paraId="4B8BDA04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2F6B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安全库存目标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022B5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7轮基本消费</w:t>
            </w:r>
          </w:p>
        </w:tc>
      </w:tr>
      <w:tr w14:paraId="02A2F16B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DB983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单农场轮容量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154F8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45谷物</w:t>
            </w:r>
          </w:p>
        </w:tc>
      </w:tr>
      <w:tr w14:paraId="5D058783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CAA0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谷物铁耗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FF312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0.08铁/谷物</w:t>
            </w:r>
          </w:p>
        </w:tc>
      </w:tr>
      <w:tr w14:paraId="23D4098D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7863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谷物运输损耗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EF2F8">
            <w:r>
              <w:t>0.05单位/格/次</w:t>
            </w:r>
          </w:p>
        </w:tc>
      </w:tr>
      <w:tr w14:paraId="04260FEF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10375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铁运输损耗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98781C">
            <w:r>
              <w:t>0.02单位/格/次</w:t>
            </w:r>
          </w:p>
        </w:tc>
      </w:tr>
      <w:tr w14:paraId="2DAAD7DE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C498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货币、劳动券和账户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BDF6C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不启用</w:t>
            </w:r>
          </w:p>
        </w:tc>
      </w:tr>
      <w:tr w14:paraId="4132B33D">
        <w:trPr>
          <w:jc w:val="center"/>
        </w:trPr>
        <w:tc>
          <w:tcPr>
            <w:tcW w:w="367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93E8F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季节和车辆</w:t>
            </w:r>
          </w:p>
        </w:tc>
        <w:tc>
          <w:tcPr>
            <w:tcW w:w="633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4FEE3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不启用</w:t>
            </w:r>
          </w:p>
        </w:tc>
      </w:tr>
    </w:tbl>
    <w:p w14:paraId="27DAA49A">
      <w:pPr>
        <w:spacing w:after="20"/>
      </w:pPr>
    </w:p>
    <w:p w14:paraId="64D3EABD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第一轮校准不再沿用“第1周无收获”的旧推演。由于k_g=1，本轮生产在本轮收获环节形成谷物。校准的重点是检查每个农场的劳动、铁投入和容量约束是否正确，运输损耗是否同时体现在起点减少和终点增加之间，以及消费和工时是否共同更新健康。</w:t>
      </w:r>
    </w:p>
    <w:p w14:paraId="3C9EC2EB">
      <w:pPr>
        <w:pStyle w:val="4"/>
      </w:pPr>
      <w:r>
        <w:t>第一轮最小测试场景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3BB057BB">
        <w:trPr>
          <w:tblHeader/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DA02A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测试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C07C5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输入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0551C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预期检查</w:t>
            </w:r>
          </w:p>
        </w:tc>
      </w:tr>
      <w:tr w14:paraId="398C6657">
        <w:trPr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F62F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谷物生产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3587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各农场提交基准劳动和足量铁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B2F12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产量不超过生产函数、铁约束和45单位容量</w:t>
            </w:r>
          </w:p>
        </w:tc>
      </w:tr>
      <w:tr w14:paraId="334F120B">
        <w:trPr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72686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铁投入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2EFA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农场按0.08铁/谷物使用库存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B05E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铁减少量与谷物产量一致</w:t>
            </w:r>
          </w:p>
        </w:tc>
      </w:tr>
      <w:tr w14:paraId="20C63261">
        <w:trPr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D17AD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运输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CEFF6">
            <w:r>
              <w:t>W1向3格外家庭发运100谷物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FE720">
            <w:r>
              <w:t>到货99.85，固定运输损耗0.15</w:t>
            </w:r>
          </w:p>
        </w:tc>
      </w:tr>
      <w:tr w14:paraId="752B4606">
        <w:trPr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6B51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消费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4435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家庭按各自c_min消费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AA2A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满足率在0至1之间</w:t>
            </w:r>
          </w:p>
        </w:tc>
      </w:tr>
      <w:tr w14:paraId="2E814CBA">
        <w:trPr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4F65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健康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D1134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设置一名Agent缺粮并超时工作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E193C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营养损伤与超时损伤同时进入H更新</w:t>
            </w:r>
          </w:p>
        </w:tc>
      </w:tr>
      <w:tr w14:paraId="64F9D5A1">
        <w:trPr>
          <w:jc w:val="center"/>
        </w:trPr>
        <w:tc>
          <w:tcPr>
            <w:tcW w:w="158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2193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闭合</w:t>
            </w:r>
          </w:p>
        </w:tc>
        <w:tc>
          <w:tcPr>
            <w:tcW w:w="4031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6C3E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汇总所有地点库存</w:t>
            </w:r>
          </w:p>
        </w:tc>
        <w:tc>
          <w:tcPr>
            <w:tcW w:w="439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018F1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生产、投入、消费和运输损耗完全可追溯</w:t>
            </w:r>
          </w:p>
        </w:tc>
      </w:tr>
    </w:tbl>
    <w:p w14:paraId="44A1D6E2">
      <w:pPr>
        <w:spacing w:after="20"/>
      </w:pPr>
    </w:p>
    <w:p w14:paraId="7ABC4B5E">
      <w:pPr>
        <w:pStyle w:val="3"/>
      </w:pPr>
      <w:r>
        <w:t>十二 输出指标与实验设计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97"/>
        <w:gridCol w:w="4997"/>
      </w:tblGrid>
      <w:tr w14:paraId="25698828">
        <w:trPr>
          <w:tblHeader/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79056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指标组</w:t>
            </w:r>
          </w:p>
        </w:tc>
        <w:tc>
          <w:tcPr>
            <w:tcW w:w="77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40245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8"/>
              </w:rPr>
              <w:t>核心指标</w:t>
            </w:r>
          </w:p>
        </w:tc>
      </w:tr>
      <w:tr w14:paraId="465C84EA"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243F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产出</w:t>
            </w:r>
          </w:p>
        </w:tc>
        <w:tc>
          <w:tcPr>
            <w:tcW w:w="77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3935A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谷物、铁、计划完成率、单位有效劳动产出</w:t>
            </w:r>
          </w:p>
        </w:tc>
      </w:tr>
      <w:tr w14:paraId="07A5EFEA"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7FF1D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消费与健康</w:t>
            </w:r>
          </w:p>
        </w:tc>
        <w:tc>
          <w:tcPr>
            <w:tcW w:w="77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67B57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基本消费满足率、健康均值、健康最低值、失能轮数</w:t>
            </w:r>
          </w:p>
        </w:tc>
      </w:tr>
      <w:tr w14:paraId="39DBB92E"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973C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分配</w:t>
            </w:r>
          </w:p>
        </w:tc>
        <w:tc>
          <w:tcPr>
            <w:tcW w:w="77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BD977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消费基尼系数、最大连续短缺、最低者结果</w:t>
            </w:r>
          </w:p>
        </w:tc>
      </w:tr>
      <w:tr w14:paraId="409369C6"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1BB78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空间协调</w:t>
            </w:r>
          </w:p>
        </w:tc>
        <w:tc>
          <w:tcPr>
            <w:tcW w:w="77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19297D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运输量、运输损耗、平均运输距离、有库存但未到货的短缺</w:t>
            </w:r>
          </w:p>
        </w:tc>
      </w:tr>
      <w:tr w14:paraId="6193532E"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DA809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库存</w:t>
            </w:r>
          </w:p>
        </w:tc>
        <w:tc>
          <w:tcPr>
            <w:tcW w:w="77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A575E5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各地点库存、库存覆盖轮数、容量溢出</w:t>
            </w:r>
          </w:p>
        </w:tc>
      </w:tr>
      <w:tr w14:paraId="4864B97D"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E02B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计划协调</w:t>
            </w:r>
          </w:p>
        </w:tc>
        <w:tc>
          <w:tcPr>
            <w:tcW w:w="77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D7474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计划与实际偏差、调整次数、响应轮数</w:t>
            </w:r>
          </w:p>
        </w:tc>
      </w:tr>
      <w:tr w14:paraId="0A607243">
        <w:trPr>
          <w:jc w:val="center"/>
        </w:trPr>
        <w:tc>
          <w:tcPr>
            <w:tcW w:w="223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C61E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计算成本</w:t>
            </w:r>
          </w:p>
        </w:tc>
        <w:tc>
          <w:tcPr>
            <w:tcW w:w="777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2F3AA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8"/>
              </w:rPr>
              <w:t>LLM调用数、tokens、无效输出和后备规则次数</w:t>
            </w:r>
          </w:p>
        </w:tc>
      </w:tr>
    </w:tbl>
    <w:p w14:paraId="26350AC8">
      <w:pPr>
        <w:spacing w:after="20"/>
      </w:pPr>
    </w:p>
    <w:p w14:paraId="58B77F74">
      <w:pPr>
        <w:spacing w:before="100" w:after="80"/>
        <w:jc w:val="center"/>
      </w:pPr>
      <w:r>
        <w:rPr>
          <w:rFonts w:ascii="Noto Sans" w:hAnsi="Noto Sans" w:eastAsia="Cambria Math"/>
          <w:b/>
          <w:color w:val="20364A"/>
          <w:sz w:val="24"/>
        </w:rPr>
        <w:t>可避免短缺率 = 社会总库存充足时发生的短缺Agent轮数 / 全部短缺Agent轮数</w:t>
      </w:r>
    </w:p>
    <w:p w14:paraId="4AAEDC5D">
      <w:pPr>
        <w:spacing w:before="100" w:after="80"/>
        <w:jc w:val="center"/>
      </w:pPr>
      <w:r>
        <w:rPr>
          <w:rFonts w:ascii="Noto Sans" w:hAnsi="Noto Sans" w:eastAsia="Cambria Math"/>
          <w:b/>
          <w:color w:val="20364A"/>
          <w:sz w:val="24"/>
        </w:rPr>
        <w:t>协调损失 = C_feasible - C_actual</w:t>
      </w:r>
    </w:p>
    <w:p w14:paraId="5C32BB9B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确定性校准阶段关闭疾病、故障和随机生产冲击。短缺随机排序仍使用固定种子。物理内核通过验收后，再为各制度配置共同随机数并开展批量实验。</w:t>
      </w:r>
    </w:p>
    <w:p w14:paraId="74768846">
      <w:pPr>
        <w:pStyle w:val="3"/>
      </w:pPr>
      <w:r>
        <w:t>十三 编码顺序与验收标准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31"/>
        <w:gridCol w:w="3331"/>
        <w:gridCol w:w="3331"/>
      </w:tblGrid>
      <w:tr w14:paraId="152FAC00">
        <w:trPr>
          <w:tblHeader/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F2B4D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B4814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实现内容</w:t>
            </w:r>
          </w:p>
        </w:tc>
        <w:tc>
          <w:tcPr>
            <w:tcW w:w="38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2036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AF44A">
            <w:pPr>
              <w:spacing w:after="0"/>
              <w:jc w:val="center"/>
            </w:pPr>
            <w:r>
              <w:rPr>
                <w:rFonts w:ascii="Noto Sans" w:hAnsi="Noto Sans" w:eastAsia="Noto Sans CJK SC"/>
                <w:b/>
                <w:color w:val="FFFFFF"/>
                <w:sz w:val="17"/>
              </w:rPr>
              <w:t>验收标准</w:t>
            </w:r>
          </w:p>
        </w:tc>
      </w:tr>
      <w:tr w14:paraId="3CFE7C57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3B2B8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1 物理内核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682F7">
            <w:pPr>
              <w:spacing w:after="0" w:line="276" w:lineRule="auto"/>
              <w:jc w:val="left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地图、三层时间、库存、生产、运输损耗、消费与健康</w:t>
            </w:r>
          </w:p>
        </w:tc>
        <w:tc>
          <w:tcPr>
            <w:tcW w:w="38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06655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物质守恒误差为0</w:t>
            </w:r>
          </w:p>
        </w:tc>
      </w:tr>
      <w:tr w14:paraId="2DBFF318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5A3E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2 确定性主体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F1E4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固定规则替代LLM</w:t>
            </w:r>
          </w:p>
        </w:tc>
        <w:tc>
          <w:tcPr>
            <w:tcW w:w="38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1F26D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连续运行无非法状态</w:t>
            </w:r>
          </w:p>
        </w:tc>
      </w:tr>
      <w:tr w14:paraId="63DAFE31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EAA7E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3 LLM Agent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9537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结构化行动、权限过滤和错误恢复</w:t>
            </w:r>
          </w:p>
        </w:tc>
        <w:tc>
          <w:tcPr>
            <w:tcW w:w="38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23D2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越权信息为0；非法输出可恢复</w:t>
            </w:r>
          </w:p>
        </w:tc>
      </w:tr>
      <w:tr w14:paraId="1B67F5A4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F046F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4 制度接口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B5C6A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计划指令、交换请求与实物分配</w:t>
            </w:r>
          </w:p>
        </w:tc>
        <w:tc>
          <w:tcPr>
            <w:tcW w:w="38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5223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切换制度不修改物理参数</w:t>
            </w:r>
          </w:p>
        </w:tc>
      </w:tr>
      <w:tr w14:paraId="58C913C7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3CA7B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5 价值核算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446232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货币、价格、工资或劳动券</w:t>
            </w:r>
          </w:p>
        </w:tc>
        <w:tc>
          <w:tcPr>
            <w:tcW w:w="38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C8141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作为下一步独立模块接入</w:t>
            </w:r>
          </w:p>
        </w:tc>
      </w:tr>
      <w:tr w14:paraId="185F1E61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73A38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6 随机冲击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BDE5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疾病、故障、生产扰动与需求变化</w:t>
            </w:r>
          </w:p>
        </w:tc>
        <w:tc>
          <w:tcPr>
            <w:tcW w:w="38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EEF3F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0B7A6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共同随机数一致</w:t>
            </w:r>
          </w:p>
        </w:tc>
      </w:tr>
      <w:tr w14:paraId="28985BF1">
        <w:trPr>
          <w:jc w:val="center"/>
        </w:trPr>
        <w:tc>
          <w:tcPr>
            <w:tcW w:w="180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200820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7 批量实验</w:t>
            </w:r>
          </w:p>
        </w:tc>
        <w:tc>
          <w:tcPr>
            <w:tcW w:w="4320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10BFB3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日志、指标与重复运行</w:t>
            </w:r>
          </w:p>
        </w:tc>
        <w:tc>
          <w:tcPr>
            <w:tcW w:w="388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58487">
            <w:pPr>
              <w:spacing w:after="0" w:line="276" w:lineRule="auto"/>
              <w:jc w:val="center"/>
            </w:pPr>
            <w:r>
              <w:rPr>
                <w:rFonts w:ascii="Noto Sans" w:hAnsi="Noto Sans" w:eastAsia="Noto Sans CJK SC"/>
                <w:b w:val="0"/>
                <w:color w:val="000000"/>
                <w:sz w:val="17"/>
              </w:rPr>
              <w:t>同种子可复现；结果可配对比较</w:t>
            </w:r>
          </w:p>
        </w:tc>
      </w:tr>
    </w:tbl>
    <w:p w14:paraId="56CB4CDA">
      <w:pPr>
        <w:spacing w:after="20"/>
      </w:pPr>
    </w:p>
    <w:p w14:paraId="44D3DB23">
      <w:pPr>
        <w:keepLines w:val="0"/>
        <w:ind w:firstLine="420"/>
      </w:pPr>
      <w:r>
        <w:rPr>
          <w:rFonts w:ascii="Noto Sans" w:hAnsi="Noto Sans" w:eastAsia="Noto Sans CJK SC"/>
          <w:color w:val="000000"/>
          <w:sz w:val="21"/>
        </w:rPr>
        <w:t>第一版最重要的验收条件是每单位物资、每小时劳动、每次运输损耗、每次消费、每次健康变化和每个LLM选择都能够追溯。货币或劳动券模块尚未加入，因此当前版本只比较物质协调过程，不报告企业盈亏、价格波动或家庭账户余额。</w:t>
      </w:r>
    </w:p>
    <w:p w14:paraId="25B5CEFA">
      <w:pPr>
        <w:pStyle w:val="3"/>
      </w:pPr>
      <w:r>
        <w:t>附录  第一版关键规则</w:t>
      </w:r>
    </w:p>
    <w:p w14:paraId="5AD2E948">
      <w:pPr>
        <w:pStyle w:val="16"/>
        <w:spacing w:after="0"/>
        <w:ind w:left="420" w:hanging="210"/>
      </w:pPr>
      <w:r>
        <w:rPr>
          <w:rFonts w:ascii="Noto Sans" w:hAnsi="Noto Sans" w:eastAsia="Noto Sans CJK SC"/>
          <w:color w:val="000000"/>
          <w:sz w:val="19"/>
        </w:rPr>
        <w:t>三个时间参数均为1：每轮行动一次，谷物每轮成熟，计划每轮调整。</w:t>
      </w:r>
    </w:p>
    <w:p w14:paraId="5EC3B46A">
      <w:pPr>
        <w:pStyle w:val="16"/>
        <w:spacing w:after="0"/>
        <w:ind w:left="420" w:hanging="210"/>
      </w:pPr>
      <w:r>
        <w:rPr>
          <w:rFonts w:ascii="Noto Sans" w:hAnsi="Noto Sans" w:eastAsia="Noto Sans CJK SC"/>
          <w:color w:val="000000"/>
          <w:sz w:val="19"/>
        </w:rPr>
        <w:t>每轮按生产、收获、分配、流通、运输和消费的顺序结算。</w:t>
      </w:r>
    </w:p>
    <w:p w14:paraId="5AC67D0B">
      <w:pPr>
        <w:pStyle w:val="16"/>
        <w:spacing w:after="0"/>
        <w:ind w:left="420" w:hanging="210"/>
      </w:pPr>
      <w:r>
        <w:t>不设置车辆；每条调拨指令中，谷物每格固定损耗0.05单位，铁每格固定损耗0.02单位。</w:t>
      </w:r>
    </w:p>
    <w:p w14:paraId="3F7CC547">
      <w:pPr>
        <w:pStyle w:val="16"/>
        <w:spacing w:after="0"/>
        <w:ind w:left="420" w:hanging="210"/>
      </w:pPr>
      <w:r>
        <w:rPr>
          <w:rFonts w:ascii="Noto Sans" w:hAnsi="Noto Sans" w:eastAsia="Noto Sans CJK SC"/>
          <w:color w:val="000000"/>
          <w:sz w:val="19"/>
        </w:rPr>
        <w:t>不设置日程、周末、季节、天气季节系数或冬季移动系数。</w:t>
      </w:r>
    </w:p>
    <w:p w14:paraId="0B526F67">
      <w:pPr>
        <w:pStyle w:val="16"/>
        <w:spacing w:after="0"/>
        <w:ind w:left="420" w:hanging="210"/>
      </w:pPr>
      <w:r>
        <w:rPr>
          <w:rFonts w:ascii="Noto Sans" w:hAnsi="Noto Sans" w:eastAsia="Noto Sans CJK SC"/>
          <w:color w:val="000000"/>
          <w:sz w:val="19"/>
        </w:rPr>
        <w:t>Agent不设置理想消费、理想工时、风险、服从和通勤偏好。</w:t>
      </w:r>
    </w:p>
    <w:p w14:paraId="1BDE560D">
      <w:pPr>
        <w:pStyle w:val="16"/>
        <w:spacing w:after="0"/>
        <w:ind w:left="420" w:hanging="210"/>
      </w:pPr>
      <w:r>
        <w:rPr>
          <w:rFonts w:ascii="Noto Sans" w:hAnsi="Noto Sans" w:eastAsia="Noto Sans CJK SC"/>
          <w:color w:val="000000"/>
          <w:sz w:val="19"/>
        </w:rPr>
        <w:t>健康值范围为0至10，消费不足和超过安全工时都会降低健康。</w:t>
      </w:r>
    </w:p>
    <w:p w14:paraId="1B63DFA0">
      <w:pPr>
        <w:pStyle w:val="16"/>
        <w:spacing w:after="0"/>
        <w:ind w:left="420" w:hanging="210"/>
      </w:pPr>
      <w:r>
        <w:rPr>
          <w:rFonts w:ascii="Noto Sans" w:hAnsi="Noto Sans" w:eastAsia="Noto Sans CJK SC"/>
          <w:color w:val="000000"/>
          <w:sz w:val="19"/>
        </w:rPr>
        <w:t>最低消费、营养恢复、缺粮损伤、安全工时和超时损伤可因人而异。</w:t>
      </w:r>
    </w:p>
    <w:p w14:paraId="39C52712">
      <w:pPr>
        <w:pStyle w:val="16"/>
        <w:spacing w:after="0"/>
        <w:ind w:left="420" w:hanging="210"/>
      </w:pPr>
      <w:r>
        <w:rPr>
          <w:rFonts w:ascii="Noto Sans" w:hAnsi="Noto Sans" w:eastAsia="Noto Sans CJK SC"/>
          <w:color w:val="000000"/>
          <w:sz w:val="19"/>
        </w:rPr>
        <w:t>第一版不使用货币、工资、价格、劳动券和账户。</w:t>
      </w:r>
    </w:p>
    <w:p w14:paraId="14EFFF02">
      <w:pPr>
        <w:pStyle w:val="16"/>
        <w:spacing w:after="0"/>
        <w:ind w:left="420" w:hanging="210"/>
      </w:pPr>
      <w:r>
        <w:rPr>
          <w:rFonts w:ascii="Noto Sans" w:hAnsi="Noto Sans" w:eastAsia="Noto Sans CJK SC"/>
          <w:color w:val="000000"/>
          <w:sz w:val="19"/>
        </w:rPr>
        <w:t>库存只能由生产、投入、运输、消费和明确损耗事件改变。</w:t>
      </w:r>
    </w:p>
    <w:p w14:paraId="5BF230B0">
      <w:pPr>
        <w:pStyle w:val="16"/>
        <w:spacing w:after="0"/>
        <w:ind w:left="420" w:hanging="210"/>
      </w:pPr>
      <w:r>
        <w:rPr>
          <w:rFonts w:ascii="Noto Sans" w:hAnsi="Noto Sans" w:eastAsia="Noto Sans CJK SC"/>
          <w:color w:val="000000"/>
          <w:sz w:val="19"/>
        </w:rPr>
        <w:t>第一版不允许瞒报；报告数值由环境生成，LLM只负责解释和申请。</w:t>
      </w:r>
    </w:p>
    <w:p w14:paraId="54990244">
      <w:pPr>
        <w:pStyle w:val="16"/>
        <w:spacing w:after="0"/>
        <w:ind w:left="420" w:hanging="210"/>
      </w:pPr>
      <w:r>
        <w:rPr>
          <w:rFonts w:ascii="Noto Sans" w:hAnsi="Noto Sans" w:eastAsia="Noto Sans CJK SC"/>
          <w:color w:val="000000"/>
          <w:sz w:val="19"/>
        </w:rPr>
        <w:t>LLM不计算客观产量，不直接写入库存，不读取无权限后台变量。</w:t>
      </w:r>
    </w:p>
    <w:sectPr>
      <w:footerReference r:id="rId5" w:type="default"/>
      <w:pgSz w:w="12240" w:h="15840"/>
      <w:pgMar w:top="1037" w:right="1123" w:bottom="1008" w:left="112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30CCE">
    <w:pPr>
      <w:pStyle w:val="24"/>
      <w:jc w:val="center"/>
    </w:pPr>
    <w:r>
      <w:rPr>
        <w:rFonts w:ascii="Noto Sans" w:hAnsi="Noto Sans" w:eastAsia="Noto Sans CJK SC"/>
        <w:b w:val="0"/>
        <w:color w:val="5E6B75"/>
        <w:sz w:val="18"/>
      </w:rPr>
      <w:fldChar w:fldCharType="begin"/>
    </w:r>
    <w:r>
      <w:rPr>
        <w:rFonts w:ascii="Noto Sans" w:hAnsi="Noto Sans" w:eastAsia="Noto Sans CJK SC"/>
        <w:b w:val="0"/>
        <w:color w:val="5E6B75"/>
        <w:sz w:val="18"/>
      </w:rPr>
      <w:instrText xml:space="preserve"> PAGE </w:instrText>
    </w:r>
    <w:r>
      <w:rPr>
        <w:rFonts w:ascii="Noto Sans" w:hAnsi="Noto Sans" w:eastAsia="Noto Sans CJK SC"/>
        <w:b w:val="0"/>
        <w:color w:val="5E6B7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EFED40"/>
    <w:rsid w:val="1EA967CE"/>
    <w:rsid w:val="2EFF4FC5"/>
    <w:rsid w:val="3A7F0890"/>
    <w:rsid w:val="3FCB6281"/>
    <w:rsid w:val="6E9F88CD"/>
    <w:rsid w:val="76BDF104"/>
    <w:rsid w:val="77E3B4B7"/>
    <w:rsid w:val="77E58797"/>
    <w:rsid w:val="77FF0DC2"/>
    <w:rsid w:val="7F978527"/>
    <w:rsid w:val="7FCEA39C"/>
    <w:rsid w:val="7FFF1F1E"/>
    <w:rsid w:val="BF7605F7"/>
    <w:rsid w:val="D3FD93A7"/>
    <w:rsid w:val="DBFC425F"/>
    <w:rsid w:val="DCB70CFD"/>
    <w:rsid w:val="ED3D66CA"/>
    <w:rsid w:val="EFFB1CD8"/>
    <w:rsid w:val="FB4E832C"/>
    <w:rsid w:val="FCFBE98B"/>
    <w:rsid w:val="FFFF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Noto Sans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00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1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ZXY</cp:lastModifiedBy>
  <dcterms:modified xsi:type="dcterms:W3CDTF">2026-09-28T23:51:11Z</dcterms:modified>
  <dc:subject>固定绝对运输损耗与运输规模效应</dc:subject>
  <dc:title>任务二 LLM驱动经济模拟数值与运行参数说明 第三次修订版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25AA1511755C1C48E7FFB96AEDF7AC5B_43</vt:lpwstr>
  </property>
</Properties>
</file>