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Descriptions</w:t>
      </w:r>
    </w:p>
    <w:p>
      <w:pPr>
        <w:pStyle w:val="Author"/>
      </w:pPr>
      <w:r>
        <w:t xml:space="preserve">pm</w:t>
      </w:r>
    </w:p>
    <w:p>
      <w:pPr>
        <w:pStyle w:val="Date"/>
      </w:pPr>
      <w:r>
        <w:t xml:space="preserve">2015-10-16</w:t>
      </w:r>
      <w:r>
        <w:t xml:space="preserve"> </w:t>
      </w:r>
      <w:r>
        <w:t xml:space="preserve">12:02:43</w:t>
      </w:r>
    </w:p>
    <w:p>
      <w:pPr>
        <w:pStyle w:val="FirstParagraph"/>
      </w:pPr>
    </w:p>
    <w:p>
      <w:pPr>
        <w:pStyle w:val="Heading1"/>
      </w:pPr>
      <w:bookmarkStart w:id="21" w:name="general-overview"/>
      <w:bookmarkEnd w:id="21"/>
      <w:r>
        <w:t xml:space="preserve">General Overview</w:t>
      </w:r>
    </w:p>
    <w:p>
      <w:pPr>
        <w:pStyle w:val="FirstParagraph"/>
      </w:pPr>
      <w:r>
        <w:t xml:space="preserve">The ISOR dataset entails 15 countries, namely: Austria, Belgium, Denmark, Spain, France, Germany, Ireland, Italy, Luxembourg, Netherlands, Norway, Portugal, Sweden, Swiss (GRN), Swiss (Parlg) and United Kingdom. Switzerland has two parliamentary Standing Orders and therefore is included twice. The timeframe under consideration in the dataset ranges from Standing Orders passed at November 22, 1945 up to ones passed at July 01, 2011.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SO</w:t>
            </w:r>
          </w:p>
        </w:tc>
        <w:tc>
          <w:tcPr>
            <w:tcBorders>
              <w:bottom w:val="single"/>
            </w:tcBorders>
            <w:vAlign w:val="bottom"/>
          </w:tcPr>
          <w:p>
            <w:pPr>
              <w:pStyle w:val="Compact"/>
              <w:jc w:val="left"/>
            </w:pPr>
            <w:r>
              <w:t xml:space="preserve">min y</w:t>
            </w:r>
          </w:p>
        </w:tc>
        <w:tc>
          <w:tcPr>
            <w:tcBorders>
              <w:bottom w:val="single"/>
            </w:tcBorders>
            <w:vAlign w:val="bottom"/>
          </w:tcPr>
          <w:p>
            <w:pPr>
              <w:pStyle w:val="Compact"/>
              <w:jc w:val="left"/>
            </w:pPr>
            <w:r>
              <w:t xml:space="preserve">max y</w:t>
            </w:r>
          </w:p>
        </w:tc>
        <w:tc>
          <w:tcPr>
            <w:tcBorders>
              <w:bottom w:val="single"/>
            </w:tcBorders>
            <w:vAlign w:val="bottom"/>
          </w:tcPr>
          <w:p>
            <w:pPr>
              <w:pStyle w:val="Compact"/>
              <w:jc w:val="right"/>
            </w:pPr>
            <w:r>
              <w:t xml:space="preserve">chg</w:t>
            </w:r>
          </w:p>
        </w:tc>
        <w:tc>
          <w:tcPr>
            <w:tcBorders>
              <w:bottom w:val="single"/>
            </w:tcBorders>
            <w:vAlign w:val="bottom"/>
          </w:tcPr>
          <w:p>
            <w:pPr>
              <w:pStyle w:val="Compact"/>
              <w:jc w:val="right"/>
            </w:pPr>
            <w:r>
              <w:t xml:space="preserve">min w</w:t>
            </w:r>
          </w:p>
        </w:tc>
        <w:tc>
          <w:tcPr>
            <w:tcBorders>
              <w:bottom w:val="single"/>
            </w:tcBorders>
            <w:vAlign w:val="bottom"/>
          </w:tcPr>
          <w:p>
            <w:pPr>
              <w:pStyle w:val="Compact"/>
              <w:jc w:val="right"/>
            </w:pPr>
            <w:r>
              <w:t xml:space="preserve">max w</w:t>
            </w:r>
          </w:p>
        </w:tc>
        <w:tc>
          <w:tcPr>
            <w:tcBorders>
              <w:bottom w:val="single"/>
            </w:tcBorders>
            <w:vAlign w:val="bottom"/>
          </w:tcPr>
          <w:p>
            <w:pPr>
              <w:pStyle w:val="Compact"/>
              <w:jc w:val="right"/>
            </w:pPr>
            <w:r>
              <w:t xml:space="preserve">ys per SO</w:t>
            </w:r>
          </w:p>
        </w:tc>
        <w:tc>
          <w:tcPr>
            <w:tcBorders>
              <w:bottom w:val="single"/>
            </w:tcBorders>
            <w:vAlign w:val="bottom"/>
          </w:tcPr>
          <w:p>
            <w:pPr>
              <w:pStyle w:val="Compact"/>
              <w:jc w:val="right"/>
            </w:pPr>
            <w:r>
              <w:t xml:space="preserve">chg per y</w:t>
            </w:r>
          </w:p>
        </w:tc>
      </w:tr>
      <w:tr>
        <w:tc>
          <w:p>
            <w:pPr>
              <w:pStyle w:val="Compact"/>
              <w:jc w:val="left"/>
            </w:pPr>
            <w:r>
              <w:t xml:space="preserve">Austria</w:t>
            </w:r>
          </w:p>
        </w:tc>
        <w:tc>
          <w:p>
            <w:pPr>
              <w:pStyle w:val="Compact"/>
              <w:jc w:val="right"/>
            </w:pPr>
            <w:r>
              <w:t xml:space="preserve">13</w:t>
            </w:r>
          </w:p>
        </w:tc>
        <w:tc>
          <w:p>
            <w:pPr>
              <w:pStyle w:val="Compact"/>
              <w:jc w:val="left"/>
            </w:pPr>
            <w:r>
              <w:t xml:space="preserve">1948</w:t>
            </w:r>
          </w:p>
        </w:tc>
        <w:tc>
          <w:p>
            <w:pPr>
              <w:pStyle w:val="Compact"/>
              <w:jc w:val="left"/>
            </w:pPr>
            <w:r>
              <w:t xml:space="preserve">2009</w:t>
            </w:r>
          </w:p>
        </w:tc>
        <w:tc>
          <w:p>
            <w:pPr>
              <w:pStyle w:val="Compact"/>
              <w:jc w:val="right"/>
            </w:pPr>
            <w:r>
              <w:t xml:space="preserve">35335</w:t>
            </w:r>
          </w:p>
        </w:tc>
        <w:tc>
          <w:p>
            <w:pPr>
              <w:pStyle w:val="Compact"/>
              <w:jc w:val="right"/>
            </w:pPr>
            <w:r>
              <w:t xml:space="preserve">7882</w:t>
            </w:r>
          </w:p>
        </w:tc>
        <w:tc>
          <w:p>
            <w:pPr>
              <w:pStyle w:val="Compact"/>
              <w:jc w:val="right"/>
            </w:pPr>
            <w:r>
              <w:t xml:space="preserve">23332</w:t>
            </w:r>
          </w:p>
        </w:tc>
        <w:tc>
          <w:p>
            <w:pPr>
              <w:pStyle w:val="Compact"/>
              <w:jc w:val="right"/>
            </w:pPr>
            <w:r>
              <w:t xml:space="preserve">4.69</w:t>
            </w:r>
          </w:p>
        </w:tc>
        <w:tc>
          <w:p>
            <w:pPr>
              <w:pStyle w:val="Compact"/>
              <w:jc w:val="right"/>
            </w:pPr>
            <w:r>
              <w:t xml:space="preserve">579</w:t>
            </w:r>
          </w:p>
        </w:tc>
      </w:tr>
      <w:tr>
        <w:tc>
          <w:p>
            <w:pPr>
              <w:pStyle w:val="Compact"/>
              <w:jc w:val="left"/>
            </w:pPr>
            <w:r>
              <w:t xml:space="preserve">Belgium</w:t>
            </w:r>
          </w:p>
        </w:tc>
        <w:tc>
          <w:p>
            <w:pPr>
              <w:pStyle w:val="Compact"/>
              <w:jc w:val="right"/>
            </w:pPr>
            <w:r>
              <w:t xml:space="preserve">46</w:t>
            </w:r>
          </w:p>
        </w:tc>
        <w:tc>
          <w:p>
            <w:pPr>
              <w:pStyle w:val="Compact"/>
              <w:jc w:val="left"/>
            </w:pPr>
            <w:r>
              <w:t xml:space="preserve">1946</w:t>
            </w:r>
          </w:p>
        </w:tc>
        <w:tc>
          <w:p>
            <w:pPr>
              <w:pStyle w:val="Compact"/>
              <w:jc w:val="left"/>
            </w:pPr>
            <w:r>
              <w:t xml:space="preserve">2009</w:t>
            </w:r>
          </w:p>
        </w:tc>
        <w:tc>
          <w:p>
            <w:pPr>
              <w:pStyle w:val="Compact"/>
              <w:jc w:val="right"/>
            </w:pPr>
            <w:r>
              <w:t xml:space="preserve">57448</w:t>
            </w:r>
          </w:p>
        </w:tc>
        <w:tc>
          <w:p>
            <w:pPr>
              <w:pStyle w:val="Compact"/>
              <w:jc w:val="right"/>
            </w:pPr>
            <w:r>
              <w:t xml:space="preserve">10004</w:t>
            </w:r>
          </w:p>
        </w:tc>
        <w:tc>
          <w:p>
            <w:pPr>
              <w:pStyle w:val="Compact"/>
              <w:jc w:val="right"/>
            </w:pPr>
            <w:r>
              <w:t xml:space="preserve">31911</w:t>
            </w:r>
          </w:p>
        </w:tc>
        <w:tc>
          <w:p>
            <w:pPr>
              <w:pStyle w:val="Compact"/>
              <w:jc w:val="right"/>
            </w:pPr>
            <w:r>
              <w:t xml:space="preserve">1.37</w:t>
            </w:r>
          </w:p>
        </w:tc>
        <w:tc>
          <w:p>
            <w:pPr>
              <w:pStyle w:val="Compact"/>
              <w:jc w:val="right"/>
            </w:pPr>
            <w:r>
              <w:t xml:space="preserve">912</w:t>
            </w:r>
          </w:p>
        </w:tc>
      </w:tr>
      <w:tr>
        <w:tc>
          <w:p>
            <w:pPr>
              <w:pStyle w:val="Compact"/>
              <w:jc w:val="left"/>
            </w:pPr>
            <w:r>
              <w:t xml:space="preserve">Denmark</w:t>
            </w:r>
          </w:p>
        </w:tc>
        <w:tc>
          <w:p>
            <w:pPr>
              <w:pStyle w:val="Compact"/>
              <w:jc w:val="right"/>
            </w:pPr>
            <w:r>
              <w:t xml:space="preserve">36</w:t>
            </w:r>
          </w:p>
        </w:tc>
        <w:tc>
          <w:p>
            <w:pPr>
              <w:pStyle w:val="Compact"/>
              <w:jc w:val="left"/>
            </w:pPr>
            <w:r>
              <w:t xml:space="preserve">1945</w:t>
            </w:r>
          </w:p>
        </w:tc>
        <w:tc>
          <w:p>
            <w:pPr>
              <w:pStyle w:val="Compact"/>
              <w:jc w:val="left"/>
            </w:pPr>
            <w:r>
              <w:t xml:space="preserve">2009</w:t>
            </w:r>
          </w:p>
        </w:tc>
        <w:tc>
          <w:p>
            <w:pPr>
              <w:pStyle w:val="Compact"/>
              <w:jc w:val="right"/>
            </w:pPr>
            <w:r>
              <w:t xml:space="preserve">26937</w:t>
            </w:r>
          </w:p>
        </w:tc>
        <w:tc>
          <w:p>
            <w:pPr>
              <w:pStyle w:val="Compact"/>
              <w:jc w:val="right"/>
            </w:pPr>
            <w:r>
              <w:t xml:space="preserve">5122</w:t>
            </w:r>
          </w:p>
        </w:tc>
        <w:tc>
          <w:p>
            <w:pPr>
              <w:pStyle w:val="Compact"/>
              <w:jc w:val="right"/>
            </w:pPr>
            <w:r>
              <w:t xml:space="preserve">10648</w:t>
            </w:r>
          </w:p>
        </w:tc>
        <w:tc>
          <w:p>
            <w:pPr>
              <w:pStyle w:val="Compact"/>
              <w:jc w:val="right"/>
            </w:pPr>
            <w:r>
              <w:t xml:space="preserve">1.78</w:t>
            </w:r>
          </w:p>
        </w:tc>
        <w:tc>
          <w:p>
            <w:pPr>
              <w:pStyle w:val="Compact"/>
              <w:jc w:val="right"/>
            </w:pPr>
            <w:r>
              <w:t xml:space="preserve">421</w:t>
            </w:r>
          </w:p>
        </w:tc>
      </w:tr>
      <w:tr>
        <w:tc>
          <w:p>
            <w:pPr>
              <w:pStyle w:val="Compact"/>
              <w:jc w:val="left"/>
            </w:pPr>
            <w:r>
              <w:t xml:space="preserve">Spain</w:t>
            </w:r>
          </w:p>
        </w:tc>
        <w:tc>
          <w:p>
            <w:pPr>
              <w:pStyle w:val="Compact"/>
              <w:jc w:val="right"/>
            </w:pPr>
            <w:r>
              <w:t xml:space="preserve">11</w:t>
            </w:r>
          </w:p>
        </w:tc>
        <w:tc>
          <w:p>
            <w:pPr>
              <w:pStyle w:val="Compact"/>
              <w:jc w:val="left"/>
            </w:pPr>
            <w:r>
              <w:t xml:space="preserve">1977</w:t>
            </w:r>
          </w:p>
        </w:tc>
        <w:tc>
          <w:p>
            <w:pPr>
              <w:pStyle w:val="Compact"/>
              <w:jc w:val="left"/>
            </w:pPr>
            <w:r>
              <w:t xml:space="preserve">2009</w:t>
            </w:r>
          </w:p>
        </w:tc>
        <w:tc>
          <w:p>
            <w:pPr>
              <w:pStyle w:val="Compact"/>
              <w:jc w:val="right"/>
            </w:pPr>
            <w:r>
              <w:t xml:space="preserve">29550</w:t>
            </w:r>
          </w:p>
        </w:tc>
        <w:tc>
          <w:p>
            <w:pPr>
              <w:pStyle w:val="Compact"/>
              <w:jc w:val="right"/>
            </w:pPr>
            <w:r>
              <w:t xml:space="preserve">11678</w:t>
            </w:r>
          </w:p>
        </w:tc>
        <w:tc>
          <w:p>
            <w:pPr>
              <w:pStyle w:val="Compact"/>
              <w:jc w:val="right"/>
            </w:pPr>
            <w:r>
              <w:t xml:space="preserve">19579</w:t>
            </w:r>
          </w:p>
        </w:tc>
        <w:tc>
          <w:p>
            <w:pPr>
              <w:pStyle w:val="Compact"/>
              <w:jc w:val="right"/>
            </w:pPr>
            <w:r>
              <w:t xml:space="preserve">2.91</w:t>
            </w:r>
          </w:p>
        </w:tc>
        <w:tc>
          <w:p>
            <w:pPr>
              <w:pStyle w:val="Compact"/>
              <w:jc w:val="right"/>
            </w:pPr>
            <w:r>
              <w:t xml:space="preserve">923</w:t>
            </w:r>
          </w:p>
        </w:tc>
      </w:tr>
      <w:tr>
        <w:tc>
          <w:p>
            <w:pPr>
              <w:pStyle w:val="Compact"/>
              <w:jc w:val="left"/>
            </w:pPr>
            <w:r>
              <w:t xml:space="preserve">France</w:t>
            </w:r>
          </w:p>
        </w:tc>
        <w:tc>
          <w:p>
            <w:pPr>
              <w:pStyle w:val="Compact"/>
              <w:jc w:val="right"/>
            </w:pPr>
            <w:r>
              <w:t xml:space="preserve">36</w:t>
            </w:r>
          </w:p>
        </w:tc>
        <w:tc>
          <w:p>
            <w:pPr>
              <w:pStyle w:val="Compact"/>
              <w:jc w:val="left"/>
            </w:pPr>
            <w:r>
              <w:t xml:space="preserve">1959</w:t>
            </w:r>
          </w:p>
        </w:tc>
        <w:tc>
          <w:p>
            <w:pPr>
              <w:pStyle w:val="Compact"/>
              <w:jc w:val="left"/>
            </w:pPr>
            <w:r>
              <w:t xml:space="preserve">2009</w:t>
            </w:r>
          </w:p>
        </w:tc>
        <w:tc>
          <w:p>
            <w:pPr>
              <w:pStyle w:val="Compact"/>
              <w:jc w:val="right"/>
            </w:pPr>
            <w:r>
              <w:t xml:space="preserve">36157</w:t>
            </w:r>
          </w:p>
        </w:tc>
        <w:tc>
          <w:p>
            <w:pPr>
              <w:pStyle w:val="Compact"/>
              <w:jc w:val="right"/>
            </w:pPr>
            <w:r>
              <w:t xml:space="preserve">20149</w:t>
            </w:r>
          </w:p>
        </w:tc>
        <w:tc>
          <w:p>
            <w:pPr>
              <w:pStyle w:val="Compact"/>
              <w:jc w:val="right"/>
            </w:pPr>
            <w:r>
              <w:t xml:space="preserve">29417</w:t>
            </w:r>
          </w:p>
        </w:tc>
        <w:tc>
          <w:p>
            <w:pPr>
              <w:pStyle w:val="Compact"/>
              <w:jc w:val="right"/>
            </w:pPr>
            <w:r>
              <w:t xml:space="preserve">1.39</w:t>
            </w:r>
          </w:p>
        </w:tc>
        <w:tc>
          <w:p>
            <w:pPr>
              <w:pStyle w:val="Compact"/>
              <w:jc w:val="right"/>
            </w:pPr>
            <w:r>
              <w:t xml:space="preserve">723</w:t>
            </w:r>
          </w:p>
        </w:tc>
      </w:tr>
      <w:tr>
        <w:tc>
          <w:p>
            <w:pPr>
              <w:pStyle w:val="Compact"/>
              <w:jc w:val="left"/>
            </w:pPr>
            <w:r>
              <w:t xml:space="preserve">Germany</w:t>
            </w:r>
          </w:p>
        </w:tc>
        <w:tc>
          <w:p>
            <w:pPr>
              <w:pStyle w:val="Compact"/>
              <w:jc w:val="right"/>
            </w:pPr>
            <w:r>
              <w:t xml:space="preserve">39</w:t>
            </w:r>
          </w:p>
        </w:tc>
        <w:tc>
          <w:p>
            <w:pPr>
              <w:pStyle w:val="Compact"/>
              <w:jc w:val="left"/>
            </w:pPr>
            <w:r>
              <w:t xml:space="preserve">1949</w:t>
            </w:r>
          </w:p>
        </w:tc>
        <w:tc>
          <w:p>
            <w:pPr>
              <w:pStyle w:val="Compact"/>
              <w:jc w:val="left"/>
            </w:pPr>
            <w:r>
              <w:t xml:space="preserve">2009</w:t>
            </w:r>
          </w:p>
        </w:tc>
        <w:tc>
          <w:p>
            <w:pPr>
              <w:pStyle w:val="Compact"/>
              <w:jc w:val="right"/>
            </w:pPr>
            <w:r>
              <w:t xml:space="preserve">30508</w:t>
            </w:r>
          </w:p>
        </w:tc>
        <w:tc>
          <w:p>
            <w:pPr>
              <w:pStyle w:val="Compact"/>
              <w:jc w:val="right"/>
            </w:pPr>
            <w:r>
              <w:t xml:space="preserve">5041</w:t>
            </w:r>
          </w:p>
        </w:tc>
        <w:tc>
          <w:p>
            <w:pPr>
              <w:pStyle w:val="Compact"/>
              <w:jc w:val="right"/>
            </w:pPr>
            <w:r>
              <w:t xml:space="preserve">19390</w:t>
            </w:r>
          </w:p>
        </w:tc>
        <w:tc>
          <w:p>
            <w:pPr>
              <w:pStyle w:val="Compact"/>
              <w:jc w:val="right"/>
            </w:pPr>
            <w:r>
              <w:t xml:space="preserve">1.54</w:t>
            </w:r>
          </w:p>
        </w:tc>
        <w:tc>
          <w:p>
            <w:pPr>
              <w:pStyle w:val="Compact"/>
              <w:jc w:val="right"/>
            </w:pPr>
            <w:r>
              <w:t xml:space="preserve">508</w:t>
            </w:r>
          </w:p>
        </w:tc>
      </w:tr>
      <w:tr>
        <w:tc>
          <w:p>
            <w:pPr>
              <w:pStyle w:val="Compact"/>
              <w:jc w:val="left"/>
            </w:pPr>
            <w:r>
              <w:t xml:space="preserve">Ireland</w:t>
            </w:r>
          </w:p>
        </w:tc>
        <w:tc>
          <w:p>
            <w:pPr>
              <w:pStyle w:val="Compact"/>
              <w:jc w:val="right"/>
            </w:pPr>
            <w:r>
              <w:t xml:space="preserve">58</w:t>
            </w:r>
          </w:p>
        </w:tc>
        <w:tc>
          <w:p>
            <w:pPr>
              <w:pStyle w:val="Compact"/>
              <w:jc w:val="left"/>
            </w:pPr>
            <w:r>
              <w:t xml:space="preserve">1946</w:t>
            </w:r>
          </w:p>
        </w:tc>
        <w:tc>
          <w:p>
            <w:pPr>
              <w:pStyle w:val="Compact"/>
              <w:jc w:val="left"/>
            </w:pPr>
            <w:r>
              <w:t xml:space="preserve">2010</w:t>
            </w:r>
          </w:p>
        </w:tc>
        <w:tc>
          <w:p>
            <w:pPr>
              <w:pStyle w:val="Compact"/>
              <w:jc w:val="right"/>
            </w:pPr>
            <w:r>
              <w:t xml:space="preserve">36855</w:t>
            </w:r>
          </w:p>
        </w:tc>
        <w:tc>
          <w:p>
            <w:pPr>
              <w:pStyle w:val="Compact"/>
              <w:jc w:val="right"/>
            </w:pPr>
            <w:r>
              <w:t xml:space="preserve">9923</w:t>
            </w:r>
          </w:p>
        </w:tc>
        <w:tc>
          <w:p>
            <w:pPr>
              <w:pStyle w:val="Compact"/>
              <w:jc w:val="right"/>
            </w:pPr>
            <w:r>
              <w:t xml:space="preserve">25296</w:t>
            </w:r>
          </w:p>
        </w:tc>
        <w:tc>
          <w:p>
            <w:pPr>
              <w:pStyle w:val="Compact"/>
              <w:jc w:val="right"/>
            </w:pPr>
            <w:r>
              <w:t xml:space="preserve">1.10</w:t>
            </w:r>
          </w:p>
        </w:tc>
        <w:tc>
          <w:p>
            <w:pPr>
              <w:pStyle w:val="Compact"/>
              <w:jc w:val="right"/>
            </w:pPr>
            <w:r>
              <w:t xml:space="preserve">576</w:t>
            </w:r>
          </w:p>
        </w:tc>
      </w:tr>
      <w:tr>
        <w:tc>
          <w:p>
            <w:pPr>
              <w:pStyle w:val="Compact"/>
              <w:jc w:val="left"/>
            </w:pPr>
            <w:r>
              <w:t xml:space="preserve">Italy</w:t>
            </w:r>
          </w:p>
        </w:tc>
        <w:tc>
          <w:p>
            <w:pPr>
              <w:pStyle w:val="Compact"/>
              <w:jc w:val="right"/>
            </w:pPr>
            <w:r>
              <w:t xml:space="preserve">46</w:t>
            </w:r>
          </w:p>
        </w:tc>
        <w:tc>
          <w:p>
            <w:pPr>
              <w:pStyle w:val="Compact"/>
              <w:jc w:val="left"/>
            </w:pPr>
            <w:r>
              <w:t xml:space="preserve">1949</w:t>
            </w:r>
          </w:p>
        </w:tc>
        <w:tc>
          <w:p>
            <w:pPr>
              <w:pStyle w:val="Compact"/>
              <w:jc w:val="left"/>
            </w:pPr>
            <w:r>
              <w:t xml:space="preserve">2009</w:t>
            </w:r>
          </w:p>
        </w:tc>
        <w:tc>
          <w:p>
            <w:pPr>
              <w:pStyle w:val="Compact"/>
              <w:jc w:val="right"/>
            </w:pPr>
            <w:r>
              <w:t xml:space="preserve">46776</w:t>
            </w:r>
          </w:p>
        </w:tc>
        <w:tc>
          <w:p>
            <w:pPr>
              <w:pStyle w:val="Compact"/>
              <w:jc w:val="right"/>
            </w:pPr>
            <w:r>
              <w:t xml:space="preserve">9442</w:t>
            </w:r>
          </w:p>
        </w:tc>
        <w:tc>
          <w:p>
            <w:pPr>
              <w:pStyle w:val="Compact"/>
              <w:jc w:val="right"/>
            </w:pPr>
            <w:r>
              <w:t xml:space="preserve">28139</w:t>
            </w:r>
          </w:p>
        </w:tc>
        <w:tc>
          <w:p>
            <w:pPr>
              <w:pStyle w:val="Compact"/>
              <w:jc w:val="right"/>
            </w:pPr>
            <w:r>
              <w:t xml:space="preserve">1.30</w:t>
            </w:r>
          </w:p>
        </w:tc>
        <w:tc>
          <w:p>
            <w:pPr>
              <w:pStyle w:val="Compact"/>
              <w:jc w:val="right"/>
            </w:pPr>
            <w:r>
              <w:t xml:space="preserve">780</w:t>
            </w:r>
          </w:p>
        </w:tc>
      </w:tr>
      <w:tr>
        <w:tc>
          <w:p>
            <w:pPr>
              <w:pStyle w:val="Compact"/>
              <w:jc w:val="left"/>
            </w:pPr>
            <w:r>
              <w:t xml:space="preserve">Luxembourg</w:t>
            </w:r>
          </w:p>
        </w:tc>
        <w:tc>
          <w:p>
            <w:pPr>
              <w:pStyle w:val="Compact"/>
              <w:jc w:val="right"/>
            </w:pPr>
            <w:r>
              <w:t xml:space="preserve">21</w:t>
            </w:r>
          </w:p>
        </w:tc>
        <w:tc>
          <w:p>
            <w:pPr>
              <w:pStyle w:val="Compact"/>
              <w:jc w:val="left"/>
            </w:pPr>
            <w:r>
              <w:t xml:space="preserve">1965</w:t>
            </w:r>
          </w:p>
        </w:tc>
        <w:tc>
          <w:p>
            <w:pPr>
              <w:pStyle w:val="Compact"/>
              <w:jc w:val="left"/>
            </w:pPr>
            <w:r>
              <w:t xml:space="preserve">2010</w:t>
            </w:r>
          </w:p>
        </w:tc>
        <w:tc>
          <w:p>
            <w:pPr>
              <w:pStyle w:val="Compact"/>
              <w:jc w:val="right"/>
            </w:pPr>
            <w:r>
              <w:t xml:space="preserve">23530</w:t>
            </w:r>
          </w:p>
        </w:tc>
        <w:tc>
          <w:p>
            <w:pPr>
              <w:pStyle w:val="Compact"/>
              <w:jc w:val="right"/>
            </w:pPr>
            <w:r>
              <w:t xml:space="preserve">8750</w:t>
            </w:r>
          </w:p>
        </w:tc>
        <w:tc>
          <w:p>
            <w:pPr>
              <w:pStyle w:val="Compact"/>
              <w:jc w:val="right"/>
            </w:pPr>
            <w:r>
              <w:t xml:space="preserve">16874</w:t>
            </w:r>
          </w:p>
        </w:tc>
        <w:tc>
          <w:p>
            <w:pPr>
              <w:pStyle w:val="Compact"/>
              <w:jc w:val="right"/>
            </w:pPr>
            <w:r>
              <w:t xml:space="preserve">2.14</w:t>
            </w:r>
          </w:p>
        </w:tc>
        <w:tc>
          <w:p>
            <w:pPr>
              <w:pStyle w:val="Compact"/>
              <w:jc w:val="right"/>
            </w:pPr>
            <w:r>
              <w:t xml:space="preserve">523</w:t>
            </w:r>
          </w:p>
        </w:tc>
      </w:tr>
      <w:tr>
        <w:tc>
          <w:p>
            <w:pPr>
              <w:pStyle w:val="Compact"/>
              <w:jc w:val="left"/>
            </w:pPr>
            <w:r>
              <w:t xml:space="preserve">Netherlands</w:t>
            </w:r>
          </w:p>
        </w:tc>
        <w:tc>
          <w:p>
            <w:pPr>
              <w:pStyle w:val="Compact"/>
              <w:jc w:val="right"/>
            </w:pPr>
            <w:r>
              <w:t xml:space="preserve">64</w:t>
            </w:r>
          </w:p>
        </w:tc>
        <w:tc>
          <w:p>
            <w:pPr>
              <w:pStyle w:val="Compact"/>
              <w:jc w:val="left"/>
            </w:pPr>
            <w:r>
              <w:t xml:space="preserve">1947</w:t>
            </w:r>
          </w:p>
        </w:tc>
        <w:tc>
          <w:p>
            <w:pPr>
              <w:pStyle w:val="Compact"/>
              <w:jc w:val="left"/>
            </w:pPr>
            <w:r>
              <w:t xml:space="preserve">2011</w:t>
            </w:r>
          </w:p>
        </w:tc>
        <w:tc>
          <w:p>
            <w:pPr>
              <w:pStyle w:val="Compact"/>
              <w:jc w:val="right"/>
            </w:pPr>
            <w:r>
              <w:t xml:space="preserve">58685</w:t>
            </w:r>
          </w:p>
        </w:tc>
        <w:tc>
          <w:p>
            <w:pPr>
              <w:pStyle w:val="Compact"/>
              <w:jc w:val="right"/>
            </w:pPr>
            <w:r>
              <w:t xml:space="preserve">11262</w:t>
            </w:r>
          </w:p>
        </w:tc>
        <w:tc>
          <w:p>
            <w:pPr>
              <w:pStyle w:val="Compact"/>
              <w:jc w:val="right"/>
            </w:pPr>
            <w:r>
              <w:t xml:space="preserve">15295</w:t>
            </w:r>
          </w:p>
        </w:tc>
        <w:tc>
          <w:p>
            <w:pPr>
              <w:pStyle w:val="Compact"/>
              <w:jc w:val="right"/>
            </w:pPr>
            <w:r>
              <w:t xml:space="preserve">1.00</w:t>
            </w:r>
          </w:p>
        </w:tc>
        <w:tc>
          <w:p>
            <w:pPr>
              <w:pStyle w:val="Compact"/>
              <w:jc w:val="right"/>
            </w:pPr>
            <w:r>
              <w:t xml:space="preserve">917</w:t>
            </w:r>
          </w:p>
        </w:tc>
      </w:tr>
      <w:tr>
        <w:tc>
          <w:p>
            <w:pPr>
              <w:pStyle w:val="Compact"/>
              <w:jc w:val="left"/>
            </w:pPr>
            <w:r>
              <w:t xml:space="preserve">Norway</w:t>
            </w:r>
          </w:p>
        </w:tc>
        <w:tc>
          <w:p>
            <w:pPr>
              <w:pStyle w:val="Compact"/>
              <w:jc w:val="right"/>
            </w:pPr>
            <w:r>
              <w:t xml:space="preserve">65</w:t>
            </w:r>
          </w:p>
        </w:tc>
        <w:tc>
          <w:p>
            <w:pPr>
              <w:pStyle w:val="Compact"/>
              <w:jc w:val="left"/>
            </w:pPr>
            <w:r>
              <w:t xml:space="preserve">1946</w:t>
            </w:r>
          </w:p>
        </w:tc>
        <w:tc>
          <w:p>
            <w:pPr>
              <w:pStyle w:val="Compact"/>
              <w:jc w:val="left"/>
            </w:pPr>
            <w:r>
              <w:t xml:space="preserve">2010</w:t>
            </w:r>
          </w:p>
        </w:tc>
        <w:tc>
          <w:p>
            <w:pPr>
              <w:pStyle w:val="Compact"/>
              <w:jc w:val="right"/>
            </w:pPr>
            <w:r>
              <w:t xml:space="preserve">32673</w:t>
            </w:r>
          </w:p>
        </w:tc>
        <w:tc>
          <w:p>
            <w:pPr>
              <w:pStyle w:val="Compact"/>
              <w:jc w:val="right"/>
            </w:pPr>
            <w:r>
              <w:t xml:space="preserve">7025</w:t>
            </w:r>
          </w:p>
        </w:tc>
        <w:tc>
          <w:p>
            <w:pPr>
              <w:pStyle w:val="Compact"/>
              <w:jc w:val="right"/>
            </w:pPr>
            <w:r>
              <w:t xml:space="preserve">10218</w:t>
            </w:r>
          </w:p>
        </w:tc>
        <w:tc>
          <w:p>
            <w:pPr>
              <w:pStyle w:val="Compact"/>
              <w:jc w:val="right"/>
            </w:pPr>
            <w:r>
              <w:t xml:space="preserve">0.98</w:t>
            </w:r>
          </w:p>
        </w:tc>
        <w:tc>
          <w:p>
            <w:pPr>
              <w:pStyle w:val="Compact"/>
              <w:jc w:val="right"/>
            </w:pPr>
            <w:r>
              <w:t xml:space="preserve">511</w:t>
            </w:r>
          </w:p>
        </w:tc>
      </w:tr>
      <w:tr>
        <w:tc>
          <w:p>
            <w:pPr>
              <w:pStyle w:val="Compact"/>
              <w:jc w:val="left"/>
            </w:pPr>
            <w:r>
              <w:t xml:space="preserve">Portugal</w:t>
            </w:r>
          </w:p>
        </w:tc>
        <w:tc>
          <w:p>
            <w:pPr>
              <w:pStyle w:val="Compact"/>
              <w:jc w:val="right"/>
            </w:pPr>
            <w:r>
              <w:t xml:space="preserve">13</w:t>
            </w:r>
          </w:p>
        </w:tc>
        <w:tc>
          <w:p>
            <w:pPr>
              <w:pStyle w:val="Compact"/>
              <w:jc w:val="left"/>
            </w:pPr>
            <w:r>
              <w:t xml:space="preserve">1976</w:t>
            </w:r>
          </w:p>
        </w:tc>
        <w:tc>
          <w:p>
            <w:pPr>
              <w:pStyle w:val="Compact"/>
              <w:jc w:val="left"/>
            </w:pPr>
            <w:r>
              <w:t xml:space="preserve">2007</w:t>
            </w:r>
          </w:p>
        </w:tc>
        <w:tc>
          <w:p>
            <w:pPr>
              <w:pStyle w:val="Compact"/>
              <w:jc w:val="right"/>
            </w:pPr>
            <w:r>
              <w:t xml:space="preserve">47797</w:t>
            </w:r>
          </w:p>
        </w:tc>
        <w:tc>
          <w:p>
            <w:pPr>
              <w:pStyle w:val="Compact"/>
              <w:jc w:val="right"/>
            </w:pPr>
            <w:r>
              <w:t xml:space="preserve">14493</w:t>
            </w:r>
          </w:p>
        </w:tc>
        <w:tc>
          <w:p>
            <w:pPr>
              <w:pStyle w:val="Compact"/>
              <w:jc w:val="right"/>
            </w:pPr>
            <w:r>
              <w:t xml:space="preserve">22794</w:t>
            </w:r>
          </w:p>
        </w:tc>
        <w:tc>
          <w:p>
            <w:pPr>
              <w:pStyle w:val="Compact"/>
              <w:jc w:val="right"/>
            </w:pPr>
            <w:r>
              <w:t xml:space="preserve">2.38</w:t>
            </w:r>
          </w:p>
        </w:tc>
        <w:tc>
          <w:p>
            <w:pPr>
              <w:pStyle w:val="Compact"/>
              <w:jc w:val="right"/>
            </w:pPr>
            <w:r>
              <w:t xml:space="preserve">1542</w:t>
            </w:r>
          </w:p>
        </w:tc>
      </w:tr>
      <w:tr>
        <w:tc>
          <w:p>
            <w:pPr>
              <w:pStyle w:val="Compact"/>
              <w:jc w:val="left"/>
            </w:pPr>
            <w:r>
              <w:t xml:space="preserve">Sweden</w:t>
            </w:r>
          </w:p>
        </w:tc>
        <w:tc>
          <w:p>
            <w:pPr>
              <w:pStyle w:val="Compact"/>
              <w:jc w:val="right"/>
            </w:pPr>
            <w:r>
              <w:t xml:space="preserve">116</w:t>
            </w:r>
          </w:p>
        </w:tc>
        <w:tc>
          <w:p>
            <w:pPr>
              <w:pStyle w:val="Compact"/>
              <w:jc w:val="left"/>
            </w:pPr>
            <w:r>
              <w:t xml:space="preserve">1945</w:t>
            </w:r>
          </w:p>
        </w:tc>
        <w:tc>
          <w:p>
            <w:pPr>
              <w:pStyle w:val="Compact"/>
              <w:jc w:val="left"/>
            </w:pPr>
            <w:r>
              <w:t xml:space="preserve">2011</w:t>
            </w:r>
          </w:p>
        </w:tc>
        <w:tc>
          <w:p>
            <w:pPr>
              <w:pStyle w:val="Compact"/>
              <w:jc w:val="right"/>
            </w:pPr>
            <w:r>
              <w:t xml:space="preserve">59913</w:t>
            </w:r>
          </w:p>
        </w:tc>
        <w:tc>
          <w:p>
            <w:pPr>
              <w:pStyle w:val="Compact"/>
              <w:jc w:val="right"/>
            </w:pPr>
            <w:r>
              <w:t xml:space="preserve">6193</w:t>
            </w:r>
          </w:p>
        </w:tc>
        <w:tc>
          <w:p>
            <w:pPr>
              <w:pStyle w:val="Compact"/>
              <w:jc w:val="right"/>
            </w:pPr>
            <w:r>
              <w:t xml:space="preserve">14972</w:t>
            </w:r>
          </w:p>
        </w:tc>
        <w:tc>
          <w:p>
            <w:pPr>
              <w:pStyle w:val="Compact"/>
              <w:jc w:val="right"/>
            </w:pPr>
            <w:r>
              <w:t xml:space="preserve">0.57</w:t>
            </w:r>
          </w:p>
        </w:tc>
        <w:tc>
          <w:p>
            <w:pPr>
              <w:pStyle w:val="Compact"/>
              <w:jc w:val="right"/>
            </w:pPr>
            <w:r>
              <w:t xml:space="preserve">908</w:t>
            </w:r>
          </w:p>
        </w:tc>
      </w:tr>
      <w:tr>
        <w:tc>
          <w:p>
            <w:pPr>
              <w:pStyle w:val="Compact"/>
              <w:jc w:val="left"/>
            </w:pPr>
            <w:r>
              <w:t xml:space="preserve">Swiss (GRN)</w:t>
            </w:r>
          </w:p>
        </w:tc>
        <w:tc>
          <w:p>
            <w:pPr>
              <w:pStyle w:val="Compact"/>
              <w:jc w:val="right"/>
            </w:pPr>
            <w:r>
              <w:t xml:space="preserve">25</w:t>
            </w:r>
          </w:p>
        </w:tc>
        <w:tc>
          <w:p>
            <w:pPr>
              <w:pStyle w:val="Compact"/>
              <w:jc w:val="left"/>
            </w:pPr>
            <w:r>
              <w:t xml:space="preserve">1946</w:t>
            </w:r>
          </w:p>
        </w:tc>
        <w:tc>
          <w:p>
            <w:pPr>
              <w:pStyle w:val="Compact"/>
              <w:jc w:val="left"/>
            </w:pPr>
            <w:r>
              <w:t xml:space="preserve">2009</w:t>
            </w:r>
          </w:p>
        </w:tc>
        <w:tc>
          <w:p>
            <w:pPr>
              <w:pStyle w:val="Compact"/>
              <w:jc w:val="right"/>
            </w:pPr>
            <w:r>
              <w:t xml:space="preserve">25903</w:t>
            </w:r>
          </w:p>
        </w:tc>
        <w:tc>
          <w:p>
            <w:pPr>
              <w:pStyle w:val="Compact"/>
              <w:jc w:val="right"/>
            </w:pPr>
            <w:r>
              <w:t xml:space="preserve">4105</w:t>
            </w:r>
          </w:p>
        </w:tc>
        <w:tc>
          <w:p>
            <w:pPr>
              <w:pStyle w:val="Compact"/>
              <w:jc w:val="right"/>
            </w:pPr>
            <w:r>
              <w:t xml:space="preserve">6781</w:t>
            </w:r>
          </w:p>
        </w:tc>
        <w:tc>
          <w:p>
            <w:pPr>
              <w:pStyle w:val="Compact"/>
              <w:jc w:val="right"/>
            </w:pPr>
            <w:r>
              <w:t xml:space="preserve">2.52</w:t>
            </w:r>
          </w:p>
        </w:tc>
        <w:tc>
          <w:p>
            <w:pPr>
              <w:pStyle w:val="Compact"/>
              <w:jc w:val="right"/>
            </w:pPr>
            <w:r>
              <w:t xml:space="preserve">411</w:t>
            </w:r>
          </w:p>
        </w:tc>
      </w:tr>
      <w:tr>
        <w:tc>
          <w:p>
            <w:pPr>
              <w:pStyle w:val="Compact"/>
              <w:jc w:val="left"/>
            </w:pPr>
            <w:r>
              <w:t xml:space="preserve">Swiss (Parlg)</w:t>
            </w:r>
          </w:p>
        </w:tc>
        <w:tc>
          <w:p>
            <w:pPr>
              <w:pStyle w:val="Compact"/>
              <w:jc w:val="right"/>
            </w:pPr>
            <w:r>
              <w:t xml:space="preserve">45</w:t>
            </w:r>
          </w:p>
        </w:tc>
        <w:tc>
          <w:p>
            <w:pPr>
              <w:pStyle w:val="Compact"/>
              <w:jc w:val="left"/>
            </w:pPr>
            <w:r>
              <w:t xml:space="preserve">1962</w:t>
            </w:r>
          </w:p>
        </w:tc>
        <w:tc>
          <w:p>
            <w:pPr>
              <w:pStyle w:val="Compact"/>
              <w:jc w:val="left"/>
            </w:pPr>
            <w:r>
              <w:t xml:space="preserve">2010</w:t>
            </w:r>
          </w:p>
        </w:tc>
        <w:tc>
          <w:p>
            <w:pPr>
              <w:pStyle w:val="Compact"/>
              <w:jc w:val="right"/>
            </w:pPr>
            <w:r>
              <w:t xml:space="preserve">33565</w:t>
            </w:r>
          </w:p>
        </w:tc>
        <w:tc>
          <w:p>
            <w:pPr>
              <w:pStyle w:val="Compact"/>
              <w:jc w:val="right"/>
            </w:pPr>
            <w:r>
              <w:t xml:space="preserve">3725</w:t>
            </w:r>
          </w:p>
        </w:tc>
        <w:tc>
          <w:p>
            <w:pPr>
              <w:pStyle w:val="Compact"/>
              <w:jc w:val="right"/>
            </w:pPr>
            <w:r>
              <w:t xml:space="preserve">12373</w:t>
            </w:r>
          </w:p>
        </w:tc>
        <w:tc>
          <w:p>
            <w:pPr>
              <w:pStyle w:val="Compact"/>
              <w:jc w:val="right"/>
            </w:pPr>
            <w:r>
              <w:t xml:space="preserve">1.07</w:t>
            </w:r>
          </w:p>
        </w:tc>
        <w:tc>
          <w:p>
            <w:pPr>
              <w:pStyle w:val="Compact"/>
              <w:jc w:val="right"/>
            </w:pPr>
            <w:r>
              <w:t xml:space="preserve">699</w:t>
            </w:r>
          </w:p>
        </w:tc>
      </w:tr>
      <w:tr>
        <w:tc>
          <w:p>
            <w:pPr>
              <w:pStyle w:val="Compact"/>
              <w:jc w:val="left"/>
            </w:pPr>
            <w:r>
              <w:t xml:space="preserve">United Kingdom</w:t>
            </w:r>
          </w:p>
        </w:tc>
        <w:tc>
          <w:p>
            <w:pPr>
              <w:pStyle w:val="Compact"/>
              <w:jc w:val="right"/>
            </w:pPr>
            <w:r>
              <w:t xml:space="preserve">146</w:t>
            </w:r>
          </w:p>
        </w:tc>
        <w:tc>
          <w:p>
            <w:pPr>
              <w:pStyle w:val="Compact"/>
              <w:jc w:val="left"/>
            </w:pPr>
            <w:r>
              <w:t xml:space="preserve">1951</w:t>
            </w:r>
          </w:p>
        </w:tc>
        <w:tc>
          <w:p>
            <w:pPr>
              <w:pStyle w:val="Compact"/>
              <w:jc w:val="left"/>
            </w:pPr>
            <w:r>
              <w:t xml:space="preserve">2009</w:t>
            </w:r>
          </w:p>
        </w:tc>
        <w:tc>
          <w:p>
            <w:pPr>
              <w:pStyle w:val="Compact"/>
              <w:jc w:val="right"/>
            </w:pPr>
            <w:r>
              <w:t xml:space="preserve">77439</w:t>
            </w:r>
          </w:p>
        </w:tc>
        <w:tc>
          <w:p>
            <w:pPr>
              <w:pStyle w:val="Compact"/>
              <w:jc w:val="right"/>
            </w:pPr>
            <w:r>
              <w:t xml:space="preserve">11894</w:t>
            </w:r>
          </w:p>
        </w:tc>
        <w:tc>
          <w:p>
            <w:pPr>
              <w:pStyle w:val="Compact"/>
              <w:jc w:val="right"/>
            </w:pPr>
            <w:r>
              <w:t xml:space="preserve">41476</w:t>
            </w:r>
          </w:p>
        </w:tc>
        <w:tc>
          <w:p>
            <w:pPr>
              <w:pStyle w:val="Compact"/>
              <w:jc w:val="right"/>
            </w:pPr>
            <w:r>
              <w:t xml:space="preserve">0.40</w:t>
            </w:r>
          </w:p>
        </w:tc>
        <w:tc>
          <w:p>
            <w:pPr>
              <w:pStyle w:val="Compact"/>
              <w:jc w:val="right"/>
            </w:pPr>
            <w:r>
              <w:t xml:space="preserve">1335</w:t>
            </w:r>
          </w:p>
        </w:tc>
      </w:tr>
    </w:tbl>
    <w:p>
      <w:pPr>
        <w:pStyle w:val="BodyText"/>
      </w:pPr>
      <w:r>
        <w:t xml:space="preserve">The above table gives an general overview across all countries within the dataset. Both the differences in length (measured as relevant words, column:</w:t>
      </w:r>
      <w:r>
        <w:t xml:space="preserve"> </w:t>
      </w:r>
      <w:r>
        <w:rPr>
          <w:i/>
        </w:rPr>
        <w:t xml:space="preserve">'min w'</w:t>
      </w:r>
      <w:r>
        <w:t xml:space="preserve"> </w:t>
      </w:r>
      <w:r>
        <w:t xml:space="preserve">and</w:t>
      </w:r>
      <w:r>
        <w:t xml:space="preserve"> </w:t>
      </w:r>
      <w:r>
        <w:rPr>
          <w:i/>
        </w:rPr>
        <w:t xml:space="preserve">'max w'</w:t>
      </w:r>
      <w:r>
        <w:t xml:space="preserve">) as well as the differences in the amount of change (measured as relevant words changed, column:</w:t>
      </w:r>
      <w:r>
        <w:t xml:space="preserve"> </w:t>
      </w:r>
      <w:r>
        <w:rPr>
          <w:i/>
        </w:rPr>
        <w:t xml:space="preserve">'chg'</w:t>
      </w:r>
      <w:r>
        <w:t xml:space="preserve">) are striking. The British SO are more than four times as long as e.g. the Norwegian and most change within the dataset happened in Great Britan amounting to nearly 80000 words changed in over 60 years compared to Denmark with only approximatly 25000 words changed in the same time period. Nonetheless, all SO are changed considerably. While in SO ar usually changed more than ocne per legislative term (column:</w:t>
      </w:r>
      <w:r>
        <w:t xml:space="preserve"> </w:t>
      </w:r>
      <w:r>
        <w:rPr>
          <w:i/>
        </w:rPr>
        <w:t xml:space="preserve">'ys per SO'</w:t>
      </w:r>
      <w:r>
        <w:t xml:space="preserve">) Austria manages to set itself apart. There SO last nearly five years on average.</w:t>
      </w:r>
    </w:p>
    <w:p>
      <w:pPr>
        <w:pStyle w:val="BodyText"/>
      </w:pPr>
    </w:p>
    <w:p>
      <w:pPr>
        <w:pStyle w:val="Heading1"/>
      </w:pPr>
      <w:bookmarkStart w:id="22" w:name="general-proness-to-change"/>
      <w:bookmarkEnd w:id="22"/>
      <w:r>
        <w:t xml:space="preserve">General proness to change</w:t>
      </w:r>
    </w:p>
    <w:p>
      <w:pPr>
        <w:pStyle w:val="FirstParagraph"/>
      </w:pPr>
      <w:r>
        <w:t xml:space="preserve">The graph below shows the relationship between the average of changes per year and the time a SO lasts usally -- the thick grey line represents the running mean while the thin grey line indicates a regression line; both are drawn separatly once for the noraml group and once fo a group of outliers.</w:t>
      </w:r>
    </w:p>
    <w:p>
      <w:pPr>
        <w:pStyle w:val="BodyText"/>
      </w:pPr>
      <w:r>
        <w:t xml:space="preserve">Interestingly the need for change or more general the proness to it -- i.e. the number of words changed per year -- seem to also drive the frequency of changes up in a very consistant way: The more change per year is needed for the assemply the more often these changes will take place. The as well plausible but counterfactual alternative would be to expect that all changes would take place in a regular intervall (e.g. once per legislative term) no matter how large these changes might be.</w:t>
      </w:r>
    </w:p>
    <w:p>
      <w:pPr>
        <w:pStyle w:val="BodyText"/>
      </w:pPr>
      <w:r>
        <w:drawing>
          <wp:inline>
            <wp:extent cx="5334000" cy="3198933"/>
            <wp:effectExtent b="0" l="0" r="0" t="0"/>
            <wp:docPr descr="" id="1" name="Picture"/>
            <a:graphic>
              <a:graphicData uri="http://schemas.openxmlformats.org/drawingml/2006/picture">
                <pic:pic>
                  <pic:nvPicPr>
                    <pic:cNvPr descr="description_files/figure-docx/unnamed-chunk-2-1.png" id="0" name="Picture"/>
                    <pic:cNvPicPr>
                      <a:picLocks noChangeArrowheads="1" noChangeAspect="1"/>
                    </pic:cNvPicPr>
                  </pic:nvPicPr>
                  <pic:blipFill>
                    <a:blip r:embed="rId23"/>
                    <a:stretch>
                      <a:fillRect/>
                    </a:stretch>
                  </pic:blipFill>
                  <pic:spPr bwMode="auto">
                    <a:xfrm>
                      <a:off x="0" y="0"/>
                      <a:ext cx="5334000" cy="3198933"/>
                    </a:xfrm>
                    <a:prstGeom prst="rect">
                      <a:avLst/>
                    </a:prstGeom>
                    <a:noFill/>
                    <a:ln w="9525">
                      <a:noFill/>
                      <a:headEnd/>
                      <a:tailEnd/>
                    </a:ln>
                  </pic:spPr>
                </pic:pic>
              </a:graphicData>
            </a:graphic>
          </wp:inline>
        </w:drawing>
      </w:r>
    </w:p>
    <w:p>
      <w:pPr>
        <w:pStyle w:val="BodyText"/>
      </w:pPr>
      <w:r>
        <w:t xml:space="preserve">Of cause this relationship could also be viewed the other way around with the frequency with which changes take place explaining the amount of changes per year: One could argue that depending on the culture of change predominant in a chamber -- expressed by the frequency with wich SO are reformed -- the amount of change varies accordingly. In other words countries with parliaments that have a strong proness to reforming SO -- for whatever reasons [[can we find or give reasons why this might be so or not??? clear majorities, conservatism, ...???]] -- are also very likely to change more than those that refrain from frequent changes.</w:t>
      </w:r>
    </w:p>
    <w:p>
      <w:pPr>
        <w:pStyle w:val="BodyText"/>
      </w:pPr>
      <w:r>
        <w:drawing>
          <wp:inline>
            <wp:extent cx="5334000" cy="3198933"/>
            <wp:effectExtent b="0" l="0" r="0" t="0"/>
            <wp:docPr descr="" id="1" name="Picture"/>
            <a:graphic>
              <a:graphicData uri="http://schemas.openxmlformats.org/drawingml/2006/picture">
                <pic:pic>
                  <pic:nvPicPr>
                    <pic:cNvPr descr="description_files/figure-docx/unnamed-chunk-3-1.png" id="0" name="Picture"/>
                    <pic:cNvPicPr>
                      <a:picLocks noChangeArrowheads="1" noChangeAspect="1"/>
                    </pic:cNvPicPr>
                  </pic:nvPicPr>
                  <pic:blipFill>
                    <a:blip r:embed="rId24"/>
                    <a:stretch>
                      <a:fillRect/>
                    </a:stretch>
                  </pic:blipFill>
                  <pic:spPr bwMode="auto">
                    <a:xfrm>
                      <a:off x="0" y="0"/>
                      <a:ext cx="5334000" cy="3198933"/>
                    </a:xfrm>
                    <a:prstGeom prst="rect">
                      <a:avLst/>
                    </a:prstGeom>
                    <a:noFill/>
                    <a:ln w="9525">
                      <a:noFill/>
                      <a:headEnd/>
                      <a:tailEnd/>
                    </a:ln>
                  </pic:spPr>
                </pic:pic>
              </a:graphicData>
            </a:graphic>
          </wp:inline>
        </w:drawing>
      </w:r>
    </w:p>
    <w:p>
      <w:pPr>
        <w:pStyle w:val="BodyText"/>
      </w:pPr>
      <w:r>
        <w:t xml:space="preserve">The results of the regression model below translates the second interpretation of the realationship (countries are either prone to change or not) into regression models. The frist model ignores the fact that Austria, Portugal and Spain obviously form a group of their own while the second model allows for a mean shift for those three cases. We can see, that when the frequency of change goes up (the time until the next reform goes down), the amount of changes (words changed per year) goes down as well. Raising the frequency of changes from 0.5 changes per year (Luxembourg) to 1 (Netherlands) should raise the expected words changed per year from 475 to 819.</w:t>
      </w:r>
    </w:p>
    <w:tbl>
      <w:tblPr>
        <w:tblStyle w:val="TableNormal"/>
        <w:tblW w:type="pct" w:w="3888.8888888888882"/>
        <w:tblLook w:firstRow="1"/>
      </w:tblPr>
      <w:tblGrid>
        <w:gridCol w:w="1980"/>
        <w:gridCol w:w="2090"/>
        <w:gridCol w:w="209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changes per y(1)</w:t>
            </w:r>
          </w:p>
        </w:tc>
        <w:tc>
          <w:tcPr>
            <w:tcBorders>
              <w:bottom w:val="single"/>
            </w:tcBorders>
            <w:vAlign w:val="bottom"/>
          </w:tcPr>
          <w:p>
            <w:pPr>
              <w:pStyle w:val="Compact"/>
              <w:jc w:val="center"/>
            </w:pPr>
            <w:r>
              <w:t xml:space="preserve">changes per y(2)</w:t>
            </w:r>
          </w:p>
        </w:tc>
      </w:tr>
      <w:tr>
        <w:tc>
          <w:p>
            <w:pPr>
              <w:pStyle w:val="Compact"/>
              <w:jc w:val="center"/>
            </w:pPr>
            <w:r>
              <w:rPr>
                <w:b/>
              </w:rPr>
              <w:t xml:space="preserve">(Intercept)</w:t>
            </w:r>
          </w:p>
        </w:tc>
        <w:tc>
          <w:p>
            <w:pPr>
              <w:pStyle w:val="Compact"/>
              <w:jc w:val="center"/>
            </w:pPr>
            <w:r>
              <w:t xml:space="preserve">860.536***</w:t>
            </w:r>
            <w:r>
              <w:br w:type="textWrapping"/>
            </w:r>
            <w:r>
              <w:t xml:space="preserve">(156.811)</w:t>
            </w:r>
          </w:p>
        </w:tc>
        <w:tc>
          <w:p>
            <w:pPr>
              <w:pStyle w:val="Compact"/>
              <w:jc w:val="center"/>
            </w:pPr>
            <w:r>
              <w:t xml:space="preserve">1163.759***</w:t>
            </w:r>
            <w:r>
              <w:br w:type="textWrapping"/>
            </w:r>
            <w:r>
              <w:t xml:space="preserve">(107.899)</w:t>
            </w:r>
          </w:p>
        </w:tc>
      </w:tr>
      <w:tr>
        <w:tc>
          <w:p>
            <w:pPr>
              <w:pStyle w:val="Compact"/>
              <w:jc w:val="center"/>
            </w:pPr>
            <w:r>
              <w:rPr>
                <w:rStyle w:val="VerbatimChar"/>
                <w:b/>
              </w:rPr>
              <w:t xml:space="preserve">ys per SO</w:t>
            </w:r>
          </w:p>
        </w:tc>
        <w:tc>
          <w:p>
            <w:pPr>
              <w:pStyle w:val="Compact"/>
              <w:jc w:val="center"/>
            </w:pPr>
            <w:r>
              <w:t xml:space="preserve">-55.290</w:t>
            </w:r>
            <w:r>
              <w:br w:type="textWrapping"/>
            </w:r>
            <w:r>
              <w:t xml:space="preserve">(79.090)</w:t>
            </w:r>
          </w:p>
        </w:tc>
        <w:tc>
          <w:p>
            <w:pPr>
              <w:pStyle w:val="Compact"/>
              <w:jc w:val="center"/>
            </w:pPr>
            <w:r>
              <w:t xml:space="preserve">-344.106***</w:t>
            </w:r>
            <w:r>
              <w:br w:type="textWrapping"/>
            </w:r>
            <w:r>
              <w:t xml:space="preserve">(71.389)</w:t>
            </w:r>
          </w:p>
        </w:tc>
      </w:tr>
      <w:tr>
        <w:tc>
          <w:p>
            <w:pPr>
              <w:pStyle w:val="Compact"/>
              <w:jc w:val="center"/>
            </w:pPr>
            <w:r>
              <w:rPr>
                <w:b/>
              </w:rPr>
              <w:t xml:space="preserve">outlier</w:t>
            </w:r>
          </w:p>
        </w:tc>
        <w:tc>
          <w:p>
            <w:pPr>
              <w:pStyle w:val="Compact"/>
              <w:jc w:val="center"/>
            </w:pPr>
            <w:r>
              <w:br w:type="textWrapping"/>
            </w:r>
          </w:p>
        </w:tc>
        <w:tc>
          <w:p>
            <w:pPr>
              <w:pStyle w:val="Compact"/>
              <w:jc w:val="center"/>
            </w:pPr>
            <w:r>
              <w:t xml:space="preserve">995.635***</w:t>
            </w:r>
            <w:r>
              <w:br w:type="textWrapping"/>
            </w:r>
            <w:r>
              <w:t xml:space="preserve">(187.761)</w:t>
            </w:r>
          </w:p>
        </w:tc>
      </w:tr>
      <w:tr>
        <w:tc>
          <w:p>
            <w:pPr>
              <w:pStyle w:val="Compact"/>
              <w:jc w:val="center"/>
            </w:pPr>
            <w:r>
              <w:rPr>
                <w:b/>
              </w:rPr>
              <w:t xml:space="preserve">R-squared</w:t>
            </w:r>
          </w:p>
        </w:tc>
        <w:tc>
          <w:p>
            <w:pPr>
              <w:pStyle w:val="Compact"/>
              <w:jc w:val="center"/>
            </w:pPr>
            <w:r>
              <w:t xml:space="preserve">0.034</w:t>
            </w:r>
          </w:p>
        </w:tc>
        <w:tc>
          <w:p>
            <w:pPr>
              <w:pStyle w:val="Compact"/>
              <w:jc w:val="center"/>
            </w:pPr>
            <w:r>
              <w:t xml:space="preserve">0.695</w:t>
            </w:r>
          </w:p>
        </w:tc>
      </w:tr>
      <w:tr>
        <w:tc>
          <w:p>
            <w:pPr>
              <w:pStyle w:val="Compact"/>
              <w:jc w:val="center"/>
            </w:pPr>
            <w:r>
              <w:rPr>
                <w:b/>
              </w:rPr>
              <w:t xml:space="preserve">F</w:t>
            </w:r>
          </w:p>
        </w:tc>
        <w:tc>
          <w:p>
            <w:pPr>
              <w:pStyle w:val="Compact"/>
              <w:jc w:val="center"/>
            </w:pPr>
            <w:r>
              <w:t xml:space="preserve">0.489</w:t>
            </w:r>
          </w:p>
        </w:tc>
        <w:tc>
          <w:p>
            <w:pPr>
              <w:pStyle w:val="Compact"/>
              <w:jc w:val="center"/>
            </w:pPr>
            <w:r>
              <w:t xml:space="preserve">14.777</w:t>
            </w:r>
          </w:p>
        </w:tc>
      </w:tr>
      <w:tr>
        <w:tc>
          <w:p>
            <w:pPr>
              <w:pStyle w:val="Compact"/>
              <w:jc w:val="center"/>
            </w:pPr>
            <w:r>
              <w:rPr>
                <w:b/>
              </w:rPr>
              <w:t xml:space="preserve">p</w:t>
            </w:r>
          </w:p>
        </w:tc>
        <w:tc>
          <w:p>
            <w:pPr>
              <w:pStyle w:val="Compact"/>
              <w:jc w:val="center"/>
            </w:pPr>
            <w:r>
              <w:t xml:space="preserve">0.496</w:t>
            </w:r>
          </w:p>
        </w:tc>
        <w:tc>
          <w:p>
            <w:pPr>
              <w:pStyle w:val="Compact"/>
              <w:jc w:val="center"/>
            </w:pPr>
            <w:r>
              <w:t xml:space="preserve">0.000</w:t>
            </w:r>
          </w:p>
        </w:tc>
      </w:tr>
      <w:tr>
        <w:tc>
          <w:p>
            <w:pPr>
              <w:pStyle w:val="Compact"/>
              <w:jc w:val="center"/>
            </w:pPr>
            <w:r>
              <w:rPr>
                <w:b/>
              </w:rPr>
              <w:t xml:space="preserve">N</w:t>
            </w:r>
          </w:p>
        </w:tc>
        <w:tc>
          <w:p>
            <w:pPr>
              <w:pStyle w:val="Compact"/>
              <w:jc w:val="center"/>
            </w:pPr>
            <w:r>
              <w:t xml:space="preserve">16</w:t>
            </w:r>
          </w:p>
        </w:tc>
        <w:tc>
          <w:p>
            <w:pPr>
              <w:pStyle w:val="Compact"/>
              <w:jc w:val="center"/>
            </w:pPr>
            <w:r>
              <w:t xml:space="preserve">16</w:t>
            </w:r>
          </w:p>
        </w:tc>
      </w:tr>
    </w:tbl>
    <w:p>
      <w:pPr>
        <w:pStyle w:val="BodyText"/>
      </w:pPr>
    </w:p>
    <w:p>
      <w:pPr>
        <w:pStyle w:val="Heading1"/>
      </w:pPr>
      <w:bookmarkStart w:id="25" w:name="particular-proness-to-change"/>
      <w:bookmarkEnd w:id="25"/>
      <w:r>
        <w:t xml:space="preserve">Particular proness to change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3423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dc:title>
  <dc:creator>pm</dc:creator>
</cp:coreProperties>
</file>