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ptos Display" w:hAnsi="Aptos Display"/>
          <w:b/>
          <w:color w:val="0B3B60"/>
          <w:sz w:val="56"/>
        </w:rPr>
        <w:t>BUDGETARY COST</w:t>
        <w:br/>
        <w:t>ESTIMATION METHODOLOGY</w:t>
      </w:r>
    </w:p>
    <w:p>
      <w:r>
        <w:rPr>
          <w:rFonts w:ascii="Aptos Display" w:hAnsi="Aptos Display"/>
          <w:b/>
          <w:color w:val="0F7896"/>
          <w:sz w:val="36"/>
        </w:rPr>
        <w:t>JMG Solar - Complete Supply and Installation of</w:t>
        <w:br/>
        <w:t>1MW, 5MW and 10MW Hybrid Solar Stations</w:t>
      </w:r>
    </w:p>
    <w:p>
      <w:pPr>
        <w:spacing w:before="400"/>
      </w:pPr>
      <w:r>
        <w:rPr>
          <w:rFonts w:ascii="Aptos" w:hAnsi="Aptos"/>
          <w:color w:val="1F2933"/>
          <w:sz w:val="22"/>
        </w:rPr>
        <w:t>Prepared as an independent budget estimate from publicly available JMG project specifications, Nigerian market price checks and EPC allowances.</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0B3B60"/>
            <w:tcMar>
              <w:top w:w="110" w:type="dxa"/>
              <w:start w:w="100" w:type="dxa"/>
              <w:bottom w:w="110" w:type="dxa"/>
              <w:end w:w="100" w:type="dxa"/>
            </w:tcMar>
          </w:tcPr>
          <w:p>
            <w:pPr>
              <w:jc w:val="center"/>
            </w:pPr>
            <w:r>
              <w:rPr>
                <w:rFonts w:ascii="Aptos" w:hAnsi="Aptos"/>
                <w:b/>
                <w:color w:val="FFFFFF"/>
                <w:sz w:val="19"/>
              </w:rPr>
              <w:t>Project size</w:t>
            </w:r>
          </w:p>
        </w:tc>
        <w:tc>
          <w:tcPr>
            <w:tcW w:type="dxa" w:w="3168"/>
            <w:shd w:fill="0B3B60"/>
            <w:tcMar>
              <w:top w:w="110" w:type="dxa"/>
              <w:start w:w="100" w:type="dxa"/>
              <w:bottom w:w="110" w:type="dxa"/>
              <w:end w:w="100" w:type="dxa"/>
            </w:tcMar>
          </w:tcPr>
          <w:p>
            <w:pPr>
              <w:jc w:val="center"/>
            </w:pPr>
            <w:r>
              <w:rPr>
                <w:rFonts w:ascii="Aptos" w:hAnsi="Aptos"/>
                <w:b/>
                <w:color w:val="FFFFFF"/>
                <w:sz w:val="19"/>
              </w:rPr>
              <w:t>Base planning figure</w:t>
            </w:r>
          </w:p>
        </w:tc>
        <w:tc>
          <w:tcPr>
            <w:tcW w:type="dxa" w:w="3168"/>
            <w:shd w:fill="0B3B60"/>
            <w:tcMar>
              <w:top w:w="110" w:type="dxa"/>
              <w:start w:w="100" w:type="dxa"/>
              <w:bottom w:w="110" w:type="dxa"/>
              <w:end w:w="100" w:type="dxa"/>
            </w:tcMar>
          </w:tcPr>
          <w:p>
            <w:pPr>
              <w:jc w:val="center"/>
            </w:pPr>
            <w:r>
              <w:rPr>
                <w:rFonts w:ascii="Aptos" w:hAnsi="Aptos"/>
                <w:b/>
                <w:color w:val="FFFFFF"/>
                <w:sz w:val="19"/>
              </w:rPr>
              <w:t>Conservative ceiling</w:t>
            </w:r>
          </w:p>
        </w:tc>
      </w:tr>
      <w:tr>
        <w:tc>
          <w:tcPr>
            <w:tcW w:type="dxa" w:w="3168"/>
            <w:shd w:fill="FFFFFF"/>
            <w:tcMar>
              <w:top w:w="110" w:type="dxa"/>
              <w:start w:w="100" w:type="dxa"/>
              <w:bottom w:w="110" w:type="dxa"/>
              <w:end w:w="100" w:type="dxa"/>
            </w:tcMar>
          </w:tcPr>
          <w:p>
            <w:pPr>
              <w:jc w:val="center"/>
            </w:pPr>
            <w:r>
              <w:rPr>
                <w:rFonts w:ascii="Aptos" w:hAnsi="Aptos"/>
                <w:b w:val="0"/>
                <w:color w:val="1F2933"/>
                <w:sz w:val="21"/>
              </w:rPr>
              <w:t>1MWp + ~1MWh battery</w:t>
            </w:r>
          </w:p>
        </w:tc>
        <w:tc>
          <w:tcPr>
            <w:tcW w:type="dxa" w:w="3168"/>
            <w:shd w:fill="FFFFFF"/>
            <w:tcMar>
              <w:top w:w="110" w:type="dxa"/>
              <w:start w:w="100" w:type="dxa"/>
              <w:bottom w:w="110" w:type="dxa"/>
              <w:end w:w="100" w:type="dxa"/>
            </w:tcMar>
          </w:tcPr>
          <w:p>
            <w:pPr>
              <w:jc w:val="center"/>
            </w:pPr>
            <w:r>
              <w:rPr>
                <w:rFonts w:ascii="Aptos" w:hAnsi="Aptos"/>
                <w:b/>
                <w:color w:val="0B3B60"/>
                <w:sz w:val="21"/>
              </w:rPr>
              <w:t>₦1.30bn</w:t>
            </w:r>
          </w:p>
        </w:tc>
        <w:tc>
          <w:tcPr>
            <w:tcW w:type="dxa" w:w="3168"/>
            <w:shd w:fill="FFFFFF"/>
            <w:tcMar>
              <w:top w:w="110" w:type="dxa"/>
              <w:start w:w="100" w:type="dxa"/>
              <w:bottom w:w="110" w:type="dxa"/>
              <w:end w:w="100" w:type="dxa"/>
            </w:tcMar>
          </w:tcPr>
          <w:p>
            <w:pPr>
              <w:jc w:val="center"/>
            </w:pPr>
            <w:r>
              <w:rPr>
                <w:rFonts w:ascii="Aptos" w:hAnsi="Aptos"/>
                <w:b/>
                <w:color w:val="0B3B60"/>
                <w:sz w:val="21"/>
              </w:rPr>
              <w:t>₦1.70bn</w:t>
            </w:r>
          </w:p>
        </w:tc>
      </w:tr>
      <w:tr>
        <w:tc>
          <w:tcPr>
            <w:tcW w:type="dxa" w:w="3168"/>
            <w:shd w:fill="EAF3F7"/>
            <w:tcMar>
              <w:top w:w="110" w:type="dxa"/>
              <w:start w:w="100" w:type="dxa"/>
              <w:bottom w:w="110" w:type="dxa"/>
              <w:end w:w="100" w:type="dxa"/>
            </w:tcMar>
          </w:tcPr>
          <w:p>
            <w:pPr>
              <w:jc w:val="center"/>
            </w:pPr>
            <w:r>
              <w:rPr>
                <w:rFonts w:ascii="Aptos" w:hAnsi="Aptos"/>
                <w:b w:val="0"/>
                <w:color w:val="1F2933"/>
                <w:sz w:val="21"/>
              </w:rPr>
              <w:t>5MWp + ~5MWh battery</w:t>
            </w:r>
          </w:p>
        </w:tc>
        <w:tc>
          <w:tcPr>
            <w:tcW w:type="dxa" w:w="3168"/>
            <w:shd w:fill="EAF3F7"/>
            <w:tcMar>
              <w:top w:w="110" w:type="dxa"/>
              <w:start w:w="100" w:type="dxa"/>
              <w:bottom w:w="110" w:type="dxa"/>
              <w:end w:w="100" w:type="dxa"/>
            </w:tcMar>
          </w:tcPr>
          <w:p>
            <w:pPr>
              <w:jc w:val="center"/>
            </w:pPr>
            <w:r>
              <w:rPr>
                <w:rFonts w:ascii="Aptos" w:hAnsi="Aptos"/>
                <w:b/>
                <w:color w:val="0B3B60"/>
                <w:sz w:val="21"/>
              </w:rPr>
              <w:t>₦6.20bn</w:t>
            </w:r>
          </w:p>
        </w:tc>
        <w:tc>
          <w:tcPr>
            <w:tcW w:type="dxa" w:w="3168"/>
            <w:shd w:fill="EAF3F7"/>
            <w:tcMar>
              <w:top w:w="110" w:type="dxa"/>
              <w:start w:w="100" w:type="dxa"/>
              <w:bottom w:w="110" w:type="dxa"/>
              <w:end w:w="100" w:type="dxa"/>
            </w:tcMar>
          </w:tcPr>
          <w:p>
            <w:pPr>
              <w:jc w:val="center"/>
            </w:pPr>
            <w:r>
              <w:rPr>
                <w:rFonts w:ascii="Aptos" w:hAnsi="Aptos"/>
                <w:b/>
                <w:color w:val="0B3B60"/>
                <w:sz w:val="21"/>
              </w:rPr>
              <w:t>₦7.80bn</w:t>
            </w:r>
          </w:p>
        </w:tc>
      </w:tr>
      <w:tr>
        <w:tc>
          <w:tcPr>
            <w:tcW w:type="dxa" w:w="3168"/>
            <w:shd w:fill="FFFFFF"/>
            <w:tcMar>
              <w:top w:w="110" w:type="dxa"/>
              <w:start w:w="100" w:type="dxa"/>
              <w:bottom w:w="110" w:type="dxa"/>
              <w:end w:w="100" w:type="dxa"/>
            </w:tcMar>
          </w:tcPr>
          <w:p>
            <w:pPr>
              <w:jc w:val="center"/>
            </w:pPr>
            <w:r>
              <w:rPr>
                <w:rFonts w:ascii="Aptos" w:hAnsi="Aptos"/>
                <w:b w:val="0"/>
                <w:color w:val="1F2933"/>
                <w:sz w:val="21"/>
              </w:rPr>
              <w:t>10MWp + ~10MWh battery</w:t>
            </w:r>
          </w:p>
        </w:tc>
        <w:tc>
          <w:tcPr>
            <w:tcW w:type="dxa" w:w="3168"/>
            <w:shd w:fill="FFFFFF"/>
            <w:tcMar>
              <w:top w:w="110" w:type="dxa"/>
              <w:start w:w="100" w:type="dxa"/>
              <w:bottom w:w="110" w:type="dxa"/>
              <w:end w:w="100" w:type="dxa"/>
            </w:tcMar>
          </w:tcPr>
          <w:p>
            <w:pPr>
              <w:jc w:val="center"/>
            </w:pPr>
            <w:r>
              <w:rPr>
                <w:rFonts w:ascii="Aptos" w:hAnsi="Aptos"/>
                <w:b/>
                <w:color w:val="0B3B60"/>
                <w:sz w:val="21"/>
              </w:rPr>
              <w:t>₦11.80bn</w:t>
            </w:r>
          </w:p>
        </w:tc>
        <w:tc>
          <w:tcPr>
            <w:tcW w:type="dxa" w:w="3168"/>
            <w:shd w:fill="FFFFFF"/>
            <w:tcMar>
              <w:top w:w="110" w:type="dxa"/>
              <w:start w:w="100" w:type="dxa"/>
              <w:bottom w:w="110" w:type="dxa"/>
              <w:end w:w="100" w:type="dxa"/>
            </w:tcMar>
          </w:tcPr>
          <w:p>
            <w:pPr>
              <w:jc w:val="center"/>
            </w:pPr>
            <w:r>
              <w:rPr>
                <w:rFonts w:ascii="Aptos" w:hAnsi="Aptos"/>
                <w:b/>
                <w:color w:val="0B3B60"/>
                <w:sz w:val="21"/>
              </w:rPr>
              <w:t>₦15.00bn</w:t>
            </w:r>
          </w:p>
        </w:tc>
      </w:tr>
    </w:tbl>
    <w:p>
      <w:pPr>
        <w:spacing w:before="480"/>
      </w:pPr>
      <w:r>
        <w:rPr>
          <w:rFonts w:ascii="Aptos" w:hAnsi="Aptos"/>
          <w:color w:val="5B6570"/>
          <w:sz w:val="18"/>
        </w:rPr>
        <w:t>Date: 16 July 2026</w:t>
      </w:r>
    </w:p>
    <w:p>
      <w:r>
        <w:rPr>
          <w:rFonts w:ascii="Aptos" w:hAnsi="Aptos"/>
          <w:b/>
          <w:color w:val="9A6700"/>
          <w:sz w:val="18"/>
        </w:rPr>
        <w:t>Status: Budgetary estimate - not a quotation from JMG Limited</w:t>
      </w:r>
    </w:p>
    <w:p>
      <w:r>
        <w:br w:type="page"/>
      </w:r>
    </w:p>
    <w:tbl>
      <w:tblPr>
        <w:tblW w:type="auto" w:w="0"/>
        <w:jc w:val="center"/>
        <w:tblLayout w:type="fixed"/>
        <w:tblLook w:firstColumn="1" w:firstRow="1" w:lastColumn="0" w:lastRow="0" w:noHBand="0" w:noVBand="1" w:val="04A0"/>
      </w:tblPr>
      <w:tblGrid>
        <w:gridCol w:w="9648"/>
      </w:tblGrid>
      <w:tr>
        <w:tc>
          <w:tcPr>
            <w:tcW w:type="dxa" w:w="10080"/>
            <w:shd w:fill="0B3B60"/>
            <w:tcMar>
              <w:top w:w="130" w:type="dxa"/>
              <w:start w:w="160" w:type="dxa"/>
              <w:bottom w:w="130" w:type="dxa"/>
              <w:end w:w="160" w:type="dxa"/>
            </w:tcMar>
          </w:tcPr>
          <w:p>
            <w:pPr>
              <w:jc w:val="left"/>
            </w:pPr>
            <w:r>
              <w:rPr>
                <w:rFonts w:ascii="Aptos" w:hAnsi="Aptos"/>
                <w:b/>
                <w:color w:val="FFFFFF"/>
                <w:sz w:val="26"/>
              </w:rPr>
              <w:t>EXECUTIVE SUMMARY</w:t>
            </w:r>
          </w:p>
        </w:tc>
      </w:tr>
    </w:tbl>
    <w:p>
      <w:pPr>
        <w:spacing w:after="100" w:line="276" w:lineRule="auto"/>
      </w:pPr>
      <w:r>
        <w:rPr>
          <w:rFonts w:ascii="Aptos" w:hAnsi="Aptos"/>
          <w:color w:val="1F2933"/>
          <w:sz w:val="19"/>
        </w:rPr>
        <w:t>JMG Limited does not publish a standard selling and installation price for a 1MW, 5MW or 10MW solar station. The estimates in this report were therefore produced using a bottom-up cost model anchored to JMG’s published equipment brands and completed hybrid projects, then expanded to include the balance-of-system, civil, electrical, engineering, installation, logistics and contingency costs required for a complete turnkey project.</w:t>
      </w:r>
    </w:p>
    <w:tbl>
      <w:tblPr>
        <w:tblW w:type="auto" w:w="0"/>
        <w:jc w:val="center"/>
        <w:tblLayout w:type="fixed"/>
        <w:tblLook w:firstColumn="1" w:firstRow="1" w:lastColumn="0" w:lastRow="0" w:noHBand="0" w:noVBand="1" w:val="04A0"/>
      </w:tblPr>
      <w:tblGrid>
        <w:gridCol w:w="173"/>
        <w:gridCol w:w="9432"/>
      </w:tblGrid>
      <w:tr>
        <w:tc>
          <w:tcPr>
            <w:tcW w:type="dxa" w:w="5040"/>
            <w:shd w:fill="F4B41A"/>
            <w:tcMar>
              <w:top w:w="0" w:type="dxa"/>
              <w:start w:w="0" w:type="dxa"/>
              <w:bottom w:w="0" w:type="dxa"/>
              <w:end w:w="0" w:type="dxa"/>
            </w:tcMar>
          </w:tcPr>
          <w:p/>
        </w:tc>
        <w:tc>
          <w:tcPr>
            <w:tcW w:type="dxa" w:w="5040"/>
            <w:shd w:fill="FFF4D6"/>
            <w:tcMar>
              <w:top w:w="110" w:type="dxa"/>
              <w:start w:w="140" w:type="dxa"/>
              <w:bottom w:w="110" w:type="dxa"/>
              <w:end w:w="140" w:type="dxa"/>
            </w:tcMar>
          </w:tcPr>
          <w:p>
            <w:r>
              <w:rPr>
                <w:rFonts w:ascii="Aptos" w:hAnsi="Aptos"/>
                <w:b/>
                <w:color w:val="0B3B60"/>
                <w:sz w:val="19"/>
              </w:rPr>
              <w:t xml:space="preserve">Important interpretation: </w:t>
            </w:r>
            <w:r>
              <w:rPr>
                <w:rFonts w:ascii="Aptos" w:hAnsi="Aptos"/>
                <w:color w:val="1F2933"/>
                <w:sz w:val="19"/>
              </w:rPr>
              <w:t>The main figures assume MWp of solar-panel DC capacity, approximately 0.8MW of inverter capacity per 1MWp of panels, and approximately 1MWh of lithium battery storage per 1MWp. A requirement for 1MW AC export, several hours of full-load backup, or a new 11kV/33kV evacuation line would materially increase the price.</w:t>
            </w:r>
          </w:p>
        </w:tc>
      </w:tr>
    </w:tbl>
    <w:p>
      <w:pPr>
        <w:pStyle w:val="Heading2"/>
        <w:keepNext/>
      </w:pPr>
      <w:r>
        <w:rPr>
          <w:rFonts w:ascii="Aptos" w:hAnsi="Aptos"/>
          <w:b/>
          <w:color w:val="0F7896"/>
          <w:sz w:val="24"/>
        </w:rPr>
        <w:t>Recommended budget figures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16"/>
            <w:shd w:fill="0B3B60"/>
            <w:vAlign w:val="center"/>
            <w:tcMar>
              <w:top w:w="90" w:type="dxa"/>
              <w:start w:w="90" w:type="dxa"/>
              <w:bottom w:w="90" w:type="dxa"/>
              <w:end w:w="90" w:type="dxa"/>
            </w:tcMar>
          </w:tcPr>
          <w:p>
            <w:pPr>
              <w:jc w:val="center"/>
            </w:pPr>
            <w:r>
              <w:rPr>
                <w:rFonts w:ascii="Aptos" w:hAnsi="Aptos"/>
                <w:b/>
                <w:color w:val="FFFFFF"/>
                <w:sz w:val="17"/>
              </w:rPr>
              <w:t>Project</w:t>
            </w:r>
          </w:p>
        </w:tc>
        <w:tc>
          <w:tcPr>
            <w:tcW w:type="dxa" w:w="3240"/>
            <w:shd w:fill="0B3B60"/>
            <w:vAlign w:val="center"/>
            <w:tcMar>
              <w:top w:w="90" w:type="dxa"/>
              <w:start w:w="90" w:type="dxa"/>
              <w:bottom w:w="90" w:type="dxa"/>
              <w:end w:w="90" w:type="dxa"/>
            </w:tcMar>
          </w:tcPr>
          <w:p>
            <w:pPr>
              <w:jc w:val="center"/>
            </w:pPr>
            <w:r>
              <w:rPr>
                <w:rFonts w:ascii="Aptos" w:hAnsi="Aptos"/>
                <w:b/>
                <w:color w:val="FFFFFF"/>
                <w:sz w:val="17"/>
              </w:rPr>
              <w:t>Assumed configuration</w:t>
            </w:r>
          </w:p>
        </w:tc>
        <w:tc>
          <w:tcPr>
            <w:tcW w:type="dxa" w:w="1944"/>
            <w:shd w:fill="0B3B60"/>
            <w:vAlign w:val="center"/>
            <w:tcMar>
              <w:top w:w="90" w:type="dxa"/>
              <w:start w:w="90" w:type="dxa"/>
              <w:bottom w:w="90" w:type="dxa"/>
              <w:end w:w="90" w:type="dxa"/>
            </w:tcMar>
          </w:tcPr>
          <w:p>
            <w:pPr>
              <w:jc w:val="center"/>
            </w:pPr>
            <w:r>
              <w:rPr>
                <w:rFonts w:ascii="Aptos" w:hAnsi="Aptos"/>
                <w:b/>
                <w:color w:val="FFFFFF"/>
                <w:sz w:val="17"/>
              </w:rPr>
              <w:t>Budget range</w:t>
            </w:r>
          </w:p>
        </w:tc>
        <w:tc>
          <w:tcPr>
            <w:tcW w:type="dxa" w:w="1728"/>
            <w:shd w:fill="0B3B60"/>
            <w:vAlign w:val="center"/>
            <w:tcMar>
              <w:top w:w="90" w:type="dxa"/>
              <w:start w:w="90" w:type="dxa"/>
              <w:bottom w:w="90" w:type="dxa"/>
              <w:end w:w="90" w:type="dxa"/>
            </w:tcMar>
          </w:tcPr>
          <w:p>
            <w:pPr>
              <w:jc w:val="center"/>
            </w:pPr>
            <w:r>
              <w:rPr>
                <w:rFonts w:ascii="Aptos" w:hAnsi="Aptos"/>
                <w:b/>
                <w:color w:val="FFFFFF"/>
                <w:sz w:val="17"/>
              </w:rPr>
              <w:t>Working figure</w:t>
            </w:r>
          </w:p>
        </w:tc>
      </w:tr>
      <w:tr>
        <w:trPr>
          <w:cantSplit/>
        </w:trPr>
        <w:tc>
          <w:tcPr>
            <w:tcW w:type="dxa" w:w="2016"/>
            <w:shd w:fill="FFFFFF"/>
            <w:tcMar>
              <w:top w:w="75" w:type="dxa"/>
              <w:start w:w="85" w:type="dxa"/>
              <w:bottom w:w="75" w:type="dxa"/>
              <w:end w:w="85" w:type="dxa"/>
            </w:tcMar>
            <w:vAlign w:val="center"/>
          </w:tcPr>
          <w:p>
            <w:pPr>
              <w:jc w:val="left"/>
            </w:pPr>
            <w:r>
              <w:rPr>
                <w:rFonts w:ascii="Aptos" w:hAnsi="Aptos"/>
                <w:b/>
                <w:color w:val="1F2933"/>
                <w:sz w:val="17"/>
              </w:rPr>
              <w:t>1MWp standard hybrid</w:t>
            </w:r>
          </w:p>
        </w:tc>
        <w:tc>
          <w:tcPr>
            <w:tcW w:type="dxa" w:w="3240"/>
            <w:shd w:fill="FFFFFF"/>
            <w:tcMar>
              <w:top w:w="75" w:type="dxa"/>
              <w:start w:w="85" w:type="dxa"/>
              <w:bottom w:w="75" w:type="dxa"/>
              <w:end w:w="85" w:type="dxa"/>
            </w:tcMar>
            <w:vAlign w:val="center"/>
          </w:tcPr>
          <w:p>
            <w:pPr>
              <w:jc w:val="center"/>
            </w:pPr>
            <w:r>
              <w:rPr>
                <w:rFonts w:ascii="Aptos" w:hAnsi="Aptos"/>
                <w:b w:val="0"/>
                <w:color w:val="1F2933"/>
                <w:sz w:val="17"/>
              </w:rPr>
              <w:t>1MWp PV, ~0.8MW AC, ~1MWh storage</w:t>
            </w:r>
          </w:p>
        </w:tc>
        <w:tc>
          <w:tcPr>
            <w:tcW w:type="dxa" w:w="1944"/>
            <w:shd w:fill="FFFFFF"/>
            <w:tcMar>
              <w:top w:w="75" w:type="dxa"/>
              <w:start w:w="85" w:type="dxa"/>
              <w:bottom w:w="75" w:type="dxa"/>
              <w:end w:w="85" w:type="dxa"/>
            </w:tcMar>
            <w:vAlign w:val="center"/>
          </w:tcPr>
          <w:p>
            <w:pPr>
              <w:jc w:val="center"/>
            </w:pPr>
            <w:r>
              <w:rPr>
                <w:rFonts w:ascii="Aptos" w:hAnsi="Aptos"/>
                <w:b w:val="0"/>
                <w:color w:val="1F2933"/>
                <w:sz w:val="17"/>
              </w:rPr>
              <w:t>₦1.05bn–₦1.70bn</w:t>
            </w:r>
          </w:p>
        </w:tc>
        <w:tc>
          <w:tcPr>
            <w:tcW w:type="dxa" w:w="1728"/>
            <w:shd w:fill="FFFFFF"/>
            <w:tcMar>
              <w:top w:w="75" w:type="dxa"/>
              <w:start w:w="85" w:type="dxa"/>
              <w:bottom w:w="75" w:type="dxa"/>
              <w:end w:w="85" w:type="dxa"/>
            </w:tcMar>
            <w:vAlign w:val="center"/>
          </w:tcPr>
          <w:p>
            <w:pPr>
              <w:jc w:val="center"/>
            </w:pPr>
            <w:r>
              <w:rPr>
                <w:rFonts w:ascii="Aptos" w:hAnsi="Aptos"/>
                <w:b w:val="0"/>
                <w:color w:val="1F2933"/>
                <w:sz w:val="17"/>
              </w:rPr>
              <w:t>₦1.30bn</w:t>
            </w:r>
          </w:p>
        </w:tc>
      </w:tr>
      <w:tr>
        <w:trPr>
          <w:cantSplit/>
        </w:trPr>
        <w:tc>
          <w:tcPr>
            <w:tcW w:type="dxa" w:w="2016"/>
            <w:shd w:fill="F2F4F5"/>
            <w:tcMar>
              <w:top w:w="75" w:type="dxa"/>
              <w:start w:w="85" w:type="dxa"/>
              <w:bottom w:w="75" w:type="dxa"/>
              <w:end w:w="85" w:type="dxa"/>
            </w:tcMar>
            <w:vAlign w:val="center"/>
          </w:tcPr>
          <w:p>
            <w:pPr>
              <w:jc w:val="left"/>
            </w:pPr>
            <w:r>
              <w:rPr>
                <w:rFonts w:ascii="Aptos" w:hAnsi="Aptos"/>
                <w:b/>
                <w:color w:val="1F2933"/>
                <w:sz w:val="17"/>
              </w:rPr>
              <w:t>5MWp standard hybrid</w:t>
            </w:r>
          </w:p>
        </w:tc>
        <w:tc>
          <w:tcPr>
            <w:tcW w:type="dxa" w:w="3240"/>
            <w:shd w:fill="F2F4F5"/>
            <w:tcMar>
              <w:top w:w="75" w:type="dxa"/>
              <w:start w:w="85" w:type="dxa"/>
              <w:bottom w:w="75" w:type="dxa"/>
              <w:end w:w="85" w:type="dxa"/>
            </w:tcMar>
            <w:vAlign w:val="center"/>
          </w:tcPr>
          <w:p>
            <w:pPr>
              <w:jc w:val="center"/>
            </w:pPr>
            <w:r>
              <w:rPr>
                <w:rFonts w:ascii="Aptos" w:hAnsi="Aptos"/>
                <w:b w:val="0"/>
                <w:color w:val="1F2933"/>
                <w:sz w:val="17"/>
              </w:rPr>
              <w:t>5MWp PV, ~4MW AC, ~5MWh storage</w:t>
            </w:r>
          </w:p>
        </w:tc>
        <w:tc>
          <w:tcPr>
            <w:tcW w:type="dxa" w:w="1944"/>
            <w:shd w:fill="F2F4F5"/>
            <w:tcMar>
              <w:top w:w="75" w:type="dxa"/>
              <w:start w:w="85" w:type="dxa"/>
              <w:bottom w:w="75" w:type="dxa"/>
              <w:end w:w="85" w:type="dxa"/>
            </w:tcMar>
            <w:vAlign w:val="center"/>
          </w:tcPr>
          <w:p>
            <w:pPr>
              <w:jc w:val="center"/>
            </w:pPr>
            <w:r>
              <w:rPr>
                <w:rFonts w:ascii="Aptos" w:hAnsi="Aptos"/>
                <w:b w:val="0"/>
                <w:color w:val="1F2933"/>
                <w:sz w:val="17"/>
              </w:rPr>
              <w:t>₦4.70bn–₦7.80bn</w:t>
            </w:r>
          </w:p>
        </w:tc>
        <w:tc>
          <w:tcPr>
            <w:tcW w:type="dxa" w:w="1728"/>
            <w:shd w:fill="F2F4F5"/>
            <w:tcMar>
              <w:top w:w="75" w:type="dxa"/>
              <w:start w:w="85" w:type="dxa"/>
              <w:bottom w:w="75" w:type="dxa"/>
              <w:end w:w="85" w:type="dxa"/>
            </w:tcMar>
            <w:vAlign w:val="center"/>
          </w:tcPr>
          <w:p>
            <w:pPr>
              <w:jc w:val="center"/>
            </w:pPr>
            <w:r>
              <w:rPr>
                <w:rFonts w:ascii="Aptos" w:hAnsi="Aptos"/>
                <w:b w:val="0"/>
                <w:color w:val="1F2933"/>
                <w:sz w:val="17"/>
              </w:rPr>
              <w:t>₦6.20bn</w:t>
            </w:r>
          </w:p>
        </w:tc>
      </w:tr>
      <w:tr>
        <w:trPr>
          <w:cantSplit/>
        </w:trPr>
        <w:tc>
          <w:tcPr>
            <w:tcW w:type="dxa" w:w="2016"/>
            <w:shd w:fill="FFFFFF"/>
            <w:tcMar>
              <w:top w:w="75" w:type="dxa"/>
              <w:start w:w="85" w:type="dxa"/>
              <w:bottom w:w="75" w:type="dxa"/>
              <w:end w:w="85" w:type="dxa"/>
            </w:tcMar>
            <w:vAlign w:val="center"/>
          </w:tcPr>
          <w:p>
            <w:pPr>
              <w:jc w:val="left"/>
            </w:pPr>
            <w:r>
              <w:rPr>
                <w:rFonts w:ascii="Aptos" w:hAnsi="Aptos"/>
                <w:b/>
                <w:color w:val="1F2933"/>
                <w:sz w:val="17"/>
              </w:rPr>
              <w:t>10MWp standard hybrid</w:t>
            </w:r>
          </w:p>
        </w:tc>
        <w:tc>
          <w:tcPr>
            <w:tcW w:type="dxa" w:w="3240"/>
            <w:shd w:fill="FFFFFF"/>
            <w:tcMar>
              <w:top w:w="75" w:type="dxa"/>
              <w:start w:w="85" w:type="dxa"/>
              <w:bottom w:w="75" w:type="dxa"/>
              <w:end w:w="85" w:type="dxa"/>
            </w:tcMar>
            <w:vAlign w:val="center"/>
          </w:tcPr>
          <w:p>
            <w:pPr>
              <w:jc w:val="center"/>
            </w:pPr>
            <w:r>
              <w:rPr>
                <w:rFonts w:ascii="Aptos" w:hAnsi="Aptos"/>
                <w:b w:val="0"/>
                <w:color w:val="1F2933"/>
                <w:sz w:val="17"/>
              </w:rPr>
              <w:t>10MWp PV, ~8MW AC, ~10MWh storage</w:t>
            </w:r>
          </w:p>
        </w:tc>
        <w:tc>
          <w:tcPr>
            <w:tcW w:type="dxa" w:w="1944"/>
            <w:shd w:fill="FFFFFF"/>
            <w:tcMar>
              <w:top w:w="75" w:type="dxa"/>
              <w:start w:w="85" w:type="dxa"/>
              <w:bottom w:w="75" w:type="dxa"/>
              <w:end w:w="85" w:type="dxa"/>
            </w:tcMar>
            <w:vAlign w:val="center"/>
          </w:tcPr>
          <w:p>
            <w:pPr>
              <w:jc w:val="center"/>
            </w:pPr>
            <w:r>
              <w:rPr>
                <w:rFonts w:ascii="Aptos" w:hAnsi="Aptos"/>
                <w:b w:val="0"/>
                <w:color w:val="1F2933"/>
                <w:sz w:val="17"/>
              </w:rPr>
              <w:t>₦8.70bn–₦15.00bn</w:t>
            </w:r>
          </w:p>
        </w:tc>
        <w:tc>
          <w:tcPr>
            <w:tcW w:type="dxa" w:w="1728"/>
            <w:shd w:fill="FFFFFF"/>
            <w:tcMar>
              <w:top w:w="75" w:type="dxa"/>
              <w:start w:w="85" w:type="dxa"/>
              <w:bottom w:w="75" w:type="dxa"/>
              <w:end w:w="85" w:type="dxa"/>
            </w:tcMar>
            <w:vAlign w:val="center"/>
          </w:tcPr>
          <w:p>
            <w:pPr>
              <w:jc w:val="center"/>
            </w:pPr>
            <w:r>
              <w:rPr>
                <w:rFonts w:ascii="Aptos" w:hAnsi="Aptos"/>
                <w:b w:val="0"/>
                <w:color w:val="1F2933"/>
                <w:sz w:val="17"/>
              </w:rPr>
              <w:t>₦11.80bn</w:t>
            </w:r>
          </w:p>
        </w:tc>
      </w:tr>
    </w:tbl>
    <w:p>
      <w:pPr>
        <w:jc w:val="center"/>
      </w:pPr>
      <w:r>
        <w:drawing>
          <wp:inline xmlns:a="http://schemas.openxmlformats.org/drawingml/2006/main" xmlns:pic="http://schemas.openxmlformats.org/drawingml/2006/picture">
            <wp:extent cx="5806440" cy="3142496"/>
            <wp:docPr id="1" name="Picture 1"/>
            <wp:cNvGraphicFramePr>
              <a:graphicFrameLocks noChangeAspect="1"/>
            </wp:cNvGraphicFramePr>
            <a:graphic>
              <a:graphicData uri="http://schemas.openxmlformats.org/drawingml/2006/picture">
                <pic:pic>
                  <pic:nvPicPr>
                    <pic:cNvPr id="0" name="jmg_budget_chart.png"/>
                    <pic:cNvPicPr/>
                  </pic:nvPicPr>
                  <pic:blipFill>
                    <a:blip r:embed="rId11"/>
                    <a:stretch>
                      <a:fillRect/>
                    </a:stretch>
                  </pic:blipFill>
                  <pic:spPr>
                    <a:xfrm>
                      <a:off x="0" y="0"/>
                      <a:ext cx="5806440" cy="3142496"/>
                    </a:xfrm>
                    <a:prstGeom prst="rect"/>
                  </pic:spPr>
                </pic:pic>
              </a:graphicData>
            </a:graphic>
          </wp:inline>
        </w:drawing>
      </w:r>
    </w:p>
    <w:p>
      <w:pPr>
        <w:jc w:val="center"/>
      </w:pPr>
      <w:r>
        <w:rPr>
          <w:rFonts w:ascii="Aptos" w:hAnsi="Aptos"/>
          <w:i/>
          <w:color w:val="5B6570"/>
          <w:sz w:val="16"/>
        </w:rPr>
        <w:t>Figure 1. Base planning figures and conservative ceilings for the standard hybrid configuration.</w:t>
      </w:r>
    </w:p>
    <w:p>
      <w:pPr>
        <w:pStyle w:val="Heading2"/>
        <w:keepNext/>
      </w:pPr>
      <w:r>
        <w:rPr>
          <w:rFonts w:ascii="Aptos" w:hAnsi="Aptos"/>
          <w:b/>
          <w:color w:val="0F7896"/>
          <w:sz w:val="24"/>
        </w:rPr>
        <w:t>What the figures include</w:t>
      </w:r>
    </w:p>
    <w:p>
      <w:pPr>
        <w:pStyle w:val="ListBullet"/>
        <w:spacing w:after="40"/>
      </w:pPr>
      <w:r>
        <w:rPr>
          <w:rFonts w:ascii="Aptos" w:hAnsi="Aptos"/>
          <w:color w:val="1F2933"/>
          <w:sz w:val="18"/>
        </w:rPr>
        <w:t>LONGi solar modules, Deye-type hybrid inverter capacity and high-voltage lithium battery storage.</w:t>
      </w:r>
    </w:p>
    <w:p>
      <w:pPr>
        <w:pStyle w:val="ListBullet"/>
        <w:spacing w:after="40"/>
      </w:pPr>
      <w:r>
        <w:rPr>
          <w:rFonts w:ascii="Aptos" w:hAnsi="Aptos"/>
          <w:color w:val="1F2933"/>
          <w:sz w:val="18"/>
        </w:rPr>
        <w:t>Mounting structures, battery racks, protection devices, cables, earthing, transformers, switchgear and metering.</w:t>
      </w:r>
    </w:p>
    <w:p>
      <w:pPr>
        <w:pStyle w:val="ListBullet"/>
        <w:spacing w:after="40"/>
      </w:pPr>
      <w:r>
        <w:rPr>
          <w:rFonts w:ascii="Aptos" w:hAnsi="Aptos"/>
          <w:color w:val="1F2933"/>
          <w:sz w:val="18"/>
        </w:rPr>
        <w:t>Civil works, installation labour, engineering design, project management, testing, commissioning, monitoring and initial spares.</w:t>
      </w:r>
    </w:p>
    <w:p>
      <w:pPr>
        <w:pStyle w:val="ListBullet"/>
        <w:spacing w:after="40"/>
      </w:pPr>
      <w:r>
        <w:rPr>
          <w:rFonts w:ascii="Aptos" w:hAnsi="Aptos"/>
          <w:color w:val="1F2933"/>
          <w:sz w:val="18"/>
        </w:rPr>
        <w:t>A 10%–15% contingency/contractor-overhead allowance for the 1MW model and estimated economies of scale for 5MW and 10MW.</w:t>
      </w:r>
    </w:p>
    <w:p>
      <w:pPr>
        <w:pStyle w:val="Heading2"/>
        <w:keepNext/>
      </w:pPr>
      <w:r>
        <w:rPr>
          <w:rFonts w:ascii="Aptos" w:hAnsi="Aptos"/>
          <w:b/>
          <w:color w:val="0F7896"/>
          <w:sz w:val="24"/>
        </w:rPr>
        <w:t>What is excluded or requires confirmation</w:t>
      </w:r>
    </w:p>
    <w:p>
      <w:pPr>
        <w:pStyle w:val="ListBullet"/>
        <w:spacing w:after="40"/>
      </w:pPr>
      <w:r>
        <w:rPr>
          <w:rFonts w:ascii="Aptos" w:hAnsi="Aptos"/>
          <w:color w:val="1F2933"/>
          <w:sz w:val="18"/>
        </w:rPr>
        <w:t>Land purchase or long-term land lease.</w:t>
      </w:r>
    </w:p>
    <w:p>
      <w:pPr>
        <w:pStyle w:val="ListBullet"/>
        <w:spacing w:after="40"/>
      </w:pPr>
      <w:r>
        <w:rPr>
          <w:rFonts w:ascii="Aptos" w:hAnsi="Aptos"/>
          <w:color w:val="1F2933"/>
          <w:sz w:val="18"/>
        </w:rPr>
        <w:t>Extraordinary ground improvement, major road construction, extensive rooftop strengthening or long-distance cable routes.</w:t>
      </w:r>
    </w:p>
    <w:p>
      <w:pPr>
        <w:pStyle w:val="ListBullet"/>
        <w:spacing w:after="40"/>
      </w:pPr>
      <w:r>
        <w:rPr>
          <w:rFonts w:ascii="Aptos" w:hAnsi="Aptos"/>
          <w:color w:val="1F2933"/>
          <w:sz w:val="18"/>
        </w:rPr>
        <w:t>A dedicated utility substation, long 11kV/33kV evacuation line, grid-impact studies and distribution-company connection charges.</w:t>
      </w:r>
    </w:p>
    <w:p>
      <w:pPr>
        <w:pStyle w:val="ListBullet"/>
        <w:spacing w:after="40"/>
      </w:pPr>
      <w:r>
        <w:rPr>
          <w:rFonts w:ascii="Aptos" w:hAnsi="Aptos"/>
          <w:color w:val="1F2933"/>
          <w:sz w:val="18"/>
        </w:rPr>
        <w:t>Financing interest, insurance during a long lease term, withholding tax, VAT treatment and customs changes unless expressly included by JMG.</w:t>
      </w:r>
    </w:p>
    <w:p>
      <w:pPr>
        <w:pStyle w:val="Heading1"/>
        <w:keepNext/>
      </w:pPr>
      <w:r>
        <w:rPr>
          <w:rFonts w:ascii="Aptos" w:hAnsi="Aptos"/>
          <w:b/>
          <w:color w:val="0B3B60"/>
          <w:sz w:val="32"/>
        </w:rPr>
        <w:t>1. Evidence Used to Define a JMG-Style System</w:t>
      </w:r>
    </w:p>
    <w:p>
      <w:pPr>
        <w:spacing w:after="100" w:line="276" w:lineRule="auto"/>
      </w:pPr>
      <w:r>
        <w:rPr>
          <w:rFonts w:ascii="Aptos" w:hAnsi="Aptos"/>
          <w:color w:val="1F2933"/>
          <w:sz w:val="19"/>
        </w:rPr>
        <w:t>The design assumptions were not selected arbitrarily. They were derived from JMG’s published solar product page and two completed JMG hybrid solar case studies.</w:t>
      </w:r>
    </w:p>
    <w:p>
      <w:pPr>
        <w:pStyle w:val="Heading2"/>
        <w:keepNext/>
      </w:pPr>
      <w:r>
        <w:rPr>
          <w:rFonts w:ascii="Aptos" w:hAnsi="Aptos"/>
          <w:b/>
          <w:color w:val="0F7896"/>
          <w:sz w:val="24"/>
        </w:rPr>
        <w:t>1.1 JMG’s published service scope and brands</w:t>
      </w:r>
    </w:p>
    <w:p>
      <w:pPr>
        <w:spacing w:after="100" w:line="276" w:lineRule="auto"/>
      </w:pPr>
      <w:r>
        <w:rPr>
          <w:rFonts w:ascii="Aptos" w:hAnsi="Aptos"/>
          <w:color w:val="1F2933"/>
          <w:sz w:val="19"/>
        </w:rPr>
        <w:t>JMG states that it supplies solar systems for residential, commercial and industrial applications using LONGi panels, Deye hybrid inverters and lithium batteries. It also states that its end-to-end service includes system design, professional installation, commissioning, monitoring and after-sales support. JMG offers lease-to-own and pay-per-kWh structures for systems of 100kVA and above. [1]</w:t>
      </w:r>
    </w:p>
    <w:p>
      <w:pPr>
        <w:pStyle w:val="Heading2"/>
        <w:keepNext/>
      </w:pPr>
      <w:r>
        <w:rPr>
          <w:rFonts w:ascii="Aptos" w:hAnsi="Aptos"/>
          <w:b/>
          <w:color w:val="0F7896"/>
          <w:sz w:val="24"/>
        </w:rPr>
        <w:t>1.2 Published JMG project ratios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232"/>
            <w:shd w:fill="0B3B60"/>
            <w:vAlign w:val="center"/>
            <w:tcMar>
              <w:top w:w="90" w:type="dxa"/>
              <w:start w:w="90" w:type="dxa"/>
              <w:bottom w:w="90" w:type="dxa"/>
              <w:end w:w="90" w:type="dxa"/>
            </w:tcMar>
          </w:tcPr>
          <w:p>
            <w:pPr>
              <w:jc w:val="center"/>
            </w:pPr>
            <w:r>
              <w:rPr>
                <w:rFonts w:ascii="Aptos" w:hAnsi="Aptos"/>
                <w:b/>
                <w:color w:val="FFFFFF"/>
                <w:sz w:val="15"/>
              </w:rPr>
              <w:t>Published project</w:t>
            </w:r>
          </w:p>
        </w:tc>
        <w:tc>
          <w:tcPr>
            <w:tcW w:type="dxa" w:w="1080"/>
            <w:shd w:fill="0B3B60"/>
            <w:vAlign w:val="center"/>
            <w:tcMar>
              <w:top w:w="90" w:type="dxa"/>
              <w:start w:w="90" w:type="dxa"/>
              <w:bottom w:w="90" w:type="dxa"/>
              <w:end w:w="90" w:type="dxa"/>
            </w:tcMar>
          </w:tcPr>
          <w:p>
            <w:pPr>
              <w:jc w:val="center"/>
            </w:pPr>
            <w:r>
              <w:rPr>
                <w:rFonts w:ascii="Aptos" w:hAnsi="Aptos"/>
                <w:b/>
                <w:color w:val="FFFFFF"/>
                <w:sz w:val="15"/>
              </w:rPr>
              <w:t>PV array</w:t>
            </w:r>
          </w:p>
        </w:tc>
        <w:tc>
          <w:tcPr>
            <w:tcW w:type="dxa" w:w="1080"/>
            <w:shd w:fill="0B3B60"/>
            <w:vAlign w:val="center"/>
            <w:tcMar>
              <w:top w:w="90" w:type="dxa"/>
              <w:start w:w="90" w:type="dxa"/>
              <w:bottom w:w="90" w:type="dxa"/>
              <w:end w:w="90" w:type="dxa"/>
            </w:tcMar>
          </w:tcPr>
          <w:p>
            <w:pPr>
              <w:jc w:val="center"/>
            </w:pPr>
            <w:r>
              <w:rPr>
                <w:rFonts w:ascii="Aptos" w:hAnsi="Aptos"/>
                <w:b/>
                <w:color w:val="FFFFFF"/>
                <w:sz w:val="15"/>
              </w:rPr>
              <w:t>Inverter</w:t>
            </w:r>
          </w:p>
        </w:tc>
        <w:tc>
          <w:tcPr>
            <w:tcW w:type="dxa" w:w="1224"/>
            <w:shd w:fill="0B3B60"/>
            <w:vAlign w:val="center"/>
            <w:tcMar>
              <w:top w:w="90" w:type="dxa"/>
              <w:start w:w="90" w:type="dxa"/>
              <w:bottom w:w="90" w:type="dxa"/>
              <w:end w:w="90" w:type="dxa"/>
            </w:tcMar>
          </w:tcPr>
          <w:p>
            <w:pPr>
              <w:jc w:val="center"/>
            </w:pPr>
            <w:r>
              <w:rPr>
                <w:rFonts w:ascii="Aptos" w:hAnsi="Aptos"/>
                <w:b/>
                <w:color w:val="FFFFFF"/>
                <w:sz w:val="15"/>
              </w:rPr>
              <w:t>Battery</w:t>
            </w:r>
          </w:p>
        </w:tc>
        <w:tc>
          <w:tcPr>
            <w:tcW w:type="dxa" w:w="1296"/>
            <w:shd w:fill="0B3B60"/>
            <w:vAlign w:val="center"/>
            <w:tcMar>
              <w:top w:w="90" w:type="dxa"/>
              <w:start w:w="90" w:type="dxa"/>
              <w:bottom w:w="90" w:type="dxa"/>
              <w:end w:w="90" w:type="dxa"/>
            </w:tcMar>
          </w:tcPr>
          <w:p>
            <w:pPr>
              <w:jc w:val="center"/>
            </w:pPr>
            <w:r>
              <w:rPr>
                <w:rFonts w:ascii="Aptos" w:hAnsi="Aptos"/>
                <w:b/>
                <w:color w:val="FFFFFF"/>
                <w:sz w:val="15"/>
              </w:rPr>
              <w:t>Annual output</w:t>
            </w:r>
          </w:p>
        </w:tc>
        <w:tc>
          <w:tcPr>
            <w:tcW w:type="dxa" w:w="1080"/>
            <w:shd w:fill="0B3B60"/>
            <w:vAlign w:val="center"/>
            <w:tcMar>
              <w:top w:w="90" w:type="dxa"/>
              <w:start w:w="90" w:type="dxa"/>
              <w:bottom w:w="90" w:type="dxa"/>
              <w:end w:w="90" w:type="dxa"/>
            </w:tcMar>
          </w:tcPr>
          <w:p>
            <w:pPr>
              <w:jc w:val="center"/>
            </w:pPr>
            <w:r>
              <w:rPr>
                <w:rFonts w:ascii="Aptos" w:hAnsi="Aptos"/>
                <w:b/>
                <w:color w:val="FFFFFF"/>
                <w:sz w:val="15"/>
              </w:rPr>
              <w:t>DC/AC ratio</w:t>
            </w:r>
          </w:p>
        </w:tc>
        <w:tc>
          <w:tcPr>
            <w:tcW w:type="dxa" w:w="1296"/>
            <w:shd w:fill="0B3B60"/>
            <w:vAlign w:val="center"/>
            <w:tcMar>
              <w:top w:w="90" w:type="dxa"/>
              <w:start w:w="90" w:type="dxa"/>
              <w:bottom w:w="90" w:type="dxa"/>
              <w:end w:w="90" w:type="dxa"/>
            </w:tcMar>
          </w:tcPr>
          <w:p>
            <w:pPr>
              <w:jc w:val="center"/>
            </w:pPr>
            <w:r>
              <w:rPr>
                <w:rFonts w:ascii="Aptos" w:hAnsi="Aptos"/>
                <w:b/>
                <w:color w:val="FFFFFF"/>
                <w:sz w:val="15"/>
              </w:rPr>
              <w:t>Battery/PV</w:t>
            </w:r>
          </w:p>
        </w:tc>
      </w:tr>
      <w:tr>
        <w:trPr>
          <w:cantSplit/>
        </w:trPr>
        <w:tc>
          <w:tcPr>
            <w:tcW w:type="dxa" w:w="2232"/>
            <w:shd w:fill="FFFFFF"/>
            <w:tcMar>
              <w:top w:w="75" w:type="dxa"/>
              <w:start w:w="85" w:type="dxa"/>
              <w:bottom w:w="75" w:type="dxa"/>
              <w:end w:w="85" w:type="dxa"/>
            </w:tcMar>
            <w:vAlign w:val="center"/>
          </w:tcPr>
          <w:p>
            <w:pPr>
              <w:jc w:val="left"/>
            </w:pPr>
            <w:r>
              <w:rPr>
                <w:rFonts w:ascii="Aptos" w:hAnsi="Aptos"/>
                <w:b w:val="0"/>
                <w:color w:val="1F2933"/>
                <w:sz w:val="15"/>
              </w:rPr>
              <w:t>JMG Head Office, Lagos</w:t>
            </w:r>
          </w:p>
        </w:tc>
        <w:tc>
          <w:tcPr>
            <w:tcW w:type="dxa" w:w="1080"/>
            <w:shd w:fill="FFFFFF"/>
            <w:tcMar>
              <w:top w:w="75" w:type="dxa"/>
              <w:start w:w="85" w:type="dxa"/>
              <w:bottom w:w="75" w:type="dxa"/>
              <w:end w:w="85" w:type="dxa"/>
            </w:tcMar>
            <w:vAlign w:val="center"/>
          </w:tcPr>
          <w:p>
            <w:pPr>
              <w:jc w:val="center"/>
            </w:pPr>
            <w:r>
              <w:rPr>
                <w:rFonts w:ascii="Aptos" w:hAnsi="Aptos"/>
                <w:b w:val="0"/>
                <w:color w:val="1F2933"/>
                <w:sz w:val="15"/>
              </w:rPr>
              <w:t>129kWp</w:t>
            </w:r>
          </w:p>
        </w:tc>
        <w:tc>
          <w:tcPr>
            <w:tcW w:type="dxa" w:w="1080"/>
            <w:shd w:fill="FFFFFF"/>
            <w:tcMar>
              <w:top w:w="75" w:type="dxa"/>
              <w:start w:w="85" w:type="dxa"/>
              <w:bottom w:w="75" w:type="dxa"/>
              <w:end w:w="85" w:type="dxa"/>
            </w:tcMar>
            <w:vAlign w:val="center"/>
          </w:tcPr>
          <w:p>
            <w:pPr>
              <w:jc w:val="center"/>
            </w:pPr>
            <w:r>
              <w:rPr>
                <w:rFonts w:ascii="Aptos" w:hAnsi="Aptos"/>
                <w:b w:val="0"/>
                <w:color w:val="1F2933"/>
                <w:sz w:val="15"/>
              </w:rPr>
              <w:t>100kW</w:t>
            </w:r>
          </w:p>
        </w:tc>
        <w:tc>
          <w:tcPr>
            <w:tcW w:type="dxa" w:w="1224"/>
            <w:shd w:fill="FFFFFF"/>
            <w:tcMar>
              <w:top w:w="75" w:type="dxa"/>
              <w:start w:w="85" w:type="dxa"/>
              <w:bottom w:w="75" w:type="dxa"/>
              <w:end w:w="85" w:type="dxa"/>
            </w:tcMar>
            <w:vAlign w:val="center"/>
          </w:tcPr>
          <w:p>
            <w:pPr>
              <w:jc w:val="center"/>
            </w:pPr>
            <w:r>
              <w:rPr>
                <w:rFonts w:ascii="Aptos" w:hAnsi="Aptos"/>
                <w:b w:val="0"/>
                <w:color w:val="1F2933"/>
                <w:sz w:val="15"/>
              </w:rPr>
              <w:t>122.9kWh</w:t>
            </w:r>
          </w:p>
        </w:tc>
        <w:tc>
          <w:tcPr>
            <w:tcW w:type="dxa" w:w="1296"/>
            <w:shd w:fill="FFFFFF"/>
            <w:tcMar>
              <w:top w:w="75" w:type="dxa"/>
              <w:start w:w="85" w:type="dxa"/>
              <w:bottom w:w="75" w:type="dxa"/>
              <w:end w:w="85" w:type="dxa"/>
            </w:tcMar>
            <w:vAlign w:val="center"/>
          </w:tcPr>
          <w:p>
            <w:pPr>
              <w:jc w:val="center"/>
            </w:pPr>
            <w:r>
              <w:rPr>
                <w:rFonts w:ascii="Aptos" w:hAnsi="Aptos"/>
                <w:b w:val="0"/>
                <w:color w:val="1F2933"/>
                <w:sz w:val="15"/>
              </w:rPr>
              <w:t>185.76MWh</w:t>
            </w:r>
          </w:p>
        </w:tc>
        <w:tc>
          <w:tcPr>
            <w:tcW w:type="dxa" w:w="1080"/>
            <w:shd w:fill="FFFFFF"/>
            <w:tcMar>
              <w:top w:w="75" w:type="dxa"/>
              <w:start w:w="85" w:type="dxa"/>
              <w:bottom w:w="75" w:type="dxa"/>
              <w:end w:w="85" w:type="dxa"/>
            </w:tcMar>
            <w:vAlign w:val="center"/>
          </w:tcPr>
          <w:p>
            <w:pPr>
              <w:jc w:val="center"/>
            </w:pPr>
            <w:r>
              <w:rPr>
                <w:rFonts w:ascii="Aptos" w:hAnsi="Aptos"/>
                <w:b w:val="0"/>
                <w:color w:val="1F2933"/>
                <w:sz w:val="15"/>
              </w:rPr>
              <w:t>1.29</w:t>
            </w:r>
          </w:p>
        </w:tc>
        <w:tc>
          <w:tcPr>
            <w:tcW w:type="dxa" w:w="1296"/>
            <w:shd w:fill="FFFFFF"/>
            <w:tcMar>
              <w:top w:w="75" w:type="dxa"/>
              <w:start w:w="85" w:type="dxa"/>
              <w:bottom w:w="75" w:type="dxa"/>
              <w:end w:w="85" w:type="dxa"/>
            </w:tcMar>
            <w:vAlign w:val="center"/>
          </w:tcPr>
          <w:p>
            <w:pPr>
              <w:jc w:val="center"/>
            </w:pPr>
            <w:r>
              <w:rPr>
                <w:rFonts w:ascii="Aptos" w:hAnsi="Aptos"/>
                <w:b w:val="0"/>
                <w:color w:val="1F2933"/>
                <w:sz w:val="15"/>
              </w:rPr>
              <w:t>0.95kWh/kWp</w:t>
            </w:r>
          </w:p>
        </w:tc>
      </w:tr>
      <w:tr>
        <w:trPr>
          <w:cantSplit/>
        </w:trPr>
        <w:tc>
          <w:tcPr>
            <w:tcW w:type="dxa" w:w="2232"/>
            <w:shd w:fill="F2F4F5"/>
            <w:tcMar>
              <w:top w:w="75" w:type="dxa"/>
              <w:start w:w="85" w:type="dxa"/>
              <w:bottom w:w="75" w:type="dxa"/>
              <w:end w:w="85" w:type="dxa"/>
            </w:tcMar>
            <w:vAlign w:val="center"/>
          </w:tcPr>
          <w:p>
            <w:pPr>
              <w:jc w:val="left"/>
            </w:pPr>
            <w:r>
              <w:rPr>
                <w:rFonts w:ascii="Aptos" w:hAnsi="Aptos"/>
                <w:b w:val="0"/>
                <w:color w:val="1F2933"/>
                <w:sz w:val="15"/>
              </w:rPr>
              <w:t>St Catherine Hospital, Abuja</w:t>
            </w:r>
          </w:p>
        </w:tc>
        <w:tc>
          <w:tcPr>
            <w:tcW w:type="dxa" w:w="1080"/>
            <w:shd w:fill="F2F4F5"/>
            <w:tcMar>
              <w:top w:w="75" w:type="dxa"/>
              <w:start w:w="85" w:type="dxa"/>
              <w:bottom w:w="75" w:type="dxa"/>
              <w:end w:w="85" w:type="dxa"/>
            </w:tcMar>
            <w:vAlign w:val="center"/>
          </w:tcPr>
          <w:p>
            <w:pPr>
              <w:jc w:val="center"/>
            </w:pPr>
            <w:r>
              <w:rPr>
                <w:rFonts w:ascii="Aptos" w:hAnsi="Aptos"/>
                <w:b w:val="0"/>
                <w:color w:val="1F2933"/>
                <w:sz w:val="15"/>
              </w:rPr>
              <w:t>92.8kWp</w:t>
            </w:r>
          </w:p>
        </w:tc>
        <w:tc>
          <w:tcPr>
            <w:tcW w:type="dxa" w:w="1080"/>
            <w:shd w:fill="F2F4F5"/>
            <w:tcMar>
              <w:top w:w="75" w:type="dxa"/>
              <w:start w:w="85" w:type="dxa"/>
              <w:bottom w:w="75" w:type="dxa"/>
              <w:end w:w="85" w:type="dxa"/>
            </w:tcMar>
            <w:vAlign w:val="center"/>
          </w:tcPr>
          <w:p>
            <w:pPr>
              <w:jc w:val="center"/>
            </w:pPr>
            <w:r>
              <w:rPr>
                <w:rFonts w:ascii="Aptos" w:hAnsi="Aptos"/>
                <w:b w:val="0"/>
                <w:color w:val="1F2933"/>
                <w:sz w:val="15"/>
              </w:rPr>
              <w:t>65kW</w:t>
            </w:r>
          </w:p>
        </w:tc>
        <w:tc>
          <w:tcPr>
            <w:tcW w:type="dxa" w:w="1224"/>
            <w:shd w:fill="F2F4F5"/>
            <w:tcMar>
              <w:top w:w="75" w:type="dxa"/>
              <w:start w:w="85" w:type="dxa"/>
              <w:bottom w:w="75" w:type="dxa"/>
              <w:end w:w="85" w:type="dxa"/>
            </w:tcMar>
            <w:vAlign w:val="center"/>
          </w:tcPr>
          <w:p>
            <w:pPr>
              <w:jc w:val="center"/>
            </w:pPr>
            <w:r>
              <w:rPr>
                <w:rFonts w:ascii="Aptos" w:hAnsi="Aptos"/>
                <w:b w:val="0"/>
                <w:color w:val="1F2933"/>
                <w:sz w:val="15"/>
              </w:rPr>
              <w:t>160.8kWh</w:t>
            </w:r>
          </w:p>
        </w:tc>
        <w:tc>
          <w:tcPr>
            <w:tcW w:type="dxa" w:w="1296"/>
            <w:shd w:fill="F2F4F5"/>
            <w:tcMar>
              <w:top w:w="75" w:type="dxa"/>
              <w:start w:w="85" w:type="dxa"/>
              <w:bottom w:w="75" w:type="dxa"/>
              <w:end w:w="85" w:type="dxa"/>
            </w:tcMar>
            <w:vAlign w:val="center"/>
          </w:tcPr>
          <w:p>
            <w:pPr>
              <w:jc w:val="center"/>
            </w:pPr>
            <w:r>
              <w:rPr>
                <w:rFonts w:ascii="Aptos" w:hAnsi="Aptos"/>
                <w:b w:val="0"/>
                <w:color w:val="1F2933"/>
                <w:sz w:val="15"/>
              </w:rPr>
              <w:t>133.63MWh</w:t>
            </w:r>
          </w:p>
        </w:tc>
        <w:tc>
          <w:tcPr>
            <w:tcW w:type="dxa" w:w="1080"/>
            <w:shd w:fill="F2F4F5"/>
            <w:tcMar>
              <w:top w:w="75" w:type="dxa"/>
              <w:start w:w="85" w:type="dxa"/>
              <w:bottom w:w="75" w:type="dxa"/>
              <w:end w:w="85" w:type="dxa"/>
            </w:tcMar>
            <w:vAlign w:val="center"/>
          </w:tcPr>
          <w:p>
            <w:pPr>
              <w:jc w:val="center"/>
            </w:pPr>
            <w:r>
              <w:rPr>
                <w:rFonts w:ascii="Aptos" w:hAnsi="Aptos"/>
                <w:b w:val="0"/>
                <w:color w:val="1F2933"/>
                <w:sz w:val="15"/>
              </w:rPr>
              <w:t>1.43</w:t>
            </w:r>
          </w:p>
        </w:tc>
        <w:tc>
          <w:tcPr>
            <w:tcW w:type="dxa" w:w="1296"/>
            <w:shd w:fill="F2F4F5"/>
            <w:tcMar>
              <w:top w:w="75" w:type="dxa"/>
              <w:start w:w="85" w:type="dxa"/>
              <w:bottom w:w="75" w:type="dxa"/>
              <w:end w:w="85" w:type="dxa"/>
            </w:tcMar>
            <w:vAlign w:val="center"/>
          </w:tcPr>
          <w:p>
            <w:pPr>
              <w:jc w:val="center"/>
            </w:pPr>
            <w:r>
              <w:rPr>
                <w:rFonts w:ascii="Aptos" w:hAnsi="Aptos"/>
                <w:b w:val="0"/>
                <w:color w:val="1F2933"/>
                <w:sz w:val="15"/>
              </w:rPr>
              <w:t>1.73kWh/kWp</w:t>
            </w:r>
          </w:p>
        </w:tc>
      </w:tr>
    </w:tbl>
    <w:p>
      <w:pPr>
        <w:spacing w:after="100" w:line="276" w:lineRule="auto"/>
      </w:pPr>
      <w:r>
        <w:rPr>
          <w:rFonts w:ascii="Aptos" w:hAnsi="Aptos"/>
          <w:color w:val="1F2933"/>
          <w:sz w:val="19"/>
        </w:rPr>
        <w:t>Both projects imply annual production of approximately 1,440kWh per installed kWp. The head-office design uses about 0.775kW of inverter capacity and 0.953kWh of storage for each kWp of solar. The hospital design uses less inverter capacity but substantially more storage. The estimate therefore adopts a practical middle design of 0.8MW AC and 1MWh storage for each 1MWp of panels. [2][3]</w:t>
      </w:r>
    </w:p>
    <w:tbl>
      <w:tblPr>
        <w:tblW w:type="auto" w:w="0"/>
        <w:jc w:val="center"/>
        <w:tblLayout w:type="fixed"/>
        <w:tblLook w:firstColumn="1" w:firstRow="1" w:lastColumn="0" w:lastRow="0" w:noHBand="0" w:noVBand="1" w:val="04A0"/>
      </w:tblPr>
      <w:tblGrid>
        <w:gridCol w:w="173"/>
        <w:gridCol w:w="9432"/>
      </w:tblGrid>
      <w:tr>
        <w:tc>
          <w:tcPr>
            <w:tcW w:type="dxa" w:w="5040"/>
            <w:shd w:fill="F4B41A"/>
            <w:tcMar>
              <w:top w:w="0" w:type="dxa"/>
              <w:start w:w="0" w:type="dxa"/>
              <w:bottom w:w="0" w:type="dxa"/>
              <w:end w:w="0" w:type="dxa"/>
            </w:tcMar>
          </w:tcPr>
          <w:p/>
        </w:tc>
        <w:tc>
          <w:tcPr>
            <w:tcW w:type="dxa" w:w="5040"/>
            <w:shd w:fill="FFF4D6"/>
            <w:tcMar>
              <w:top w:w="110" w:type="dxa"/>
              <w:start w:w="140" w:type="dxa"/>
              <w:bottom w:w="110" w:type="dxa"/>
              <w:end w:w="140" w:type="dxa"/>
            </w:tcMar>
          </w:tcPr>
          <w:p>
            <w:r>
              <w:rPr>
                <w:rFonts w:ascii="Aptos" w:hAnsi="Aptos"/>
                <w:b/>
                <w:color w:val="0B3B60"/>
                <w:sz w:val="19"/>
              </w:rPr>
              <w:t xml:space="preserve">Design conclusion: </w:t>
            </w:r>
            <w:r>
              <w:rPr>
                <w:rFonts w:ascii="Aptos" w:hAnsi="Aptos"/>
                <w:color w:val="1F2933"/>
                <w:sz w:val="19"/>
              </w:rPr>
              <w:t>The standard budget model is not a direct scale-up of the hospital’s battery-heavy configuration. It uses the head-office ratio as the main anchor, rounded to a commercially convenient 1MWh battery per 1MWp.</w:t>
            </w:r>
          </w:p>
        </w:tc>
      </w:tr>
    </w:tbl>
    <w:p>
      <w:pPr>
        <w:pStyle w:val="Heading1"/>
        <w:keepNext/>
      </w:pPr>
      <w:r>
        <w:rPr>
          <w:rFonts w:ascii="Aptos" w:hAnsi="Aptos"/>
          <w:b/>
          <w:color w:val="0B3B60"/>
          <w:sz w:val="32"/>
        </w:rPr>
        <w:t>2. Technical Quantity Calculation</w:t>
      </w:r>
    </w:p>
    <w:p>
      <w:pPr>
        <w:pStyle w:val="Heading2"/>
        <w:keepNext/>
      </w:pPr>
      <w:r>
        <w:rPr>
          <w:rFonts w:ascii="Aptos" w:hAnsi="Aptos"/>
          <w:b/>
          <w:color w:val="0F7896"/>
          <w:sz w:val="24"/>
        </w:rPr>
        <w:t>2.1 Formulae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240"/>
            <w:shd w:fill="0B3B60"/>
            <w:vAlign w:val="center"/>
            <w:tcMar>
              <w:top w:w="90" w:type="dxa"/>
              <w:start w:w="90" w:type="dxa"/>
              <w:bottom w:w="90" w:type="dxa"/>
              <w:end w:w="90" w:type="dxa"/>
            </w:tcMar>
          </w:tcPr>
          <w:p>
            <w:pPr>
              <w:jc w:val="center"/>
            </w:pPr>
            <w:r>
              <w:rPr>
                <w:rFonts w:ascii="Aptos" w:hAnsi="Aptos"/>
                <w:b/>
                <w:color w:val="FFFFFF"/>
                <w:sz w:val="18"/>
              </w:rPr>
              <w:t>Item</w:t>
            </w:r>
          </w:p>
        </w:tc>
        <w:tc>
          <w:tcPr>
            <w:tcW w:type="dxa" w:w="6120"/>
            <w:shd w:fill="0B3B60"/>
            <w:vAlign w:val="center"/>
            <w:tcMar>
              <w:top w:w="90" w:type="dxa"/>
              <w:start w:w="90" w:type="dxa"/>
              <w:bottom w:w="90" w:type="dxa"/>
              <w:end w:w="90" w:type="dxa"/>
            </w:tcMar>
          </w:tcPr>
          <w:p>
            <w:pPr>
              <w:jc w:val="center"/>
            </w:pPr>
            <w:r>
              <w:rPr>
                <w:rFonts w:ascii="Aptos" w:hAnsi="Aptos"/>
                <w:b/>
                <w:color w:val="FFFFFF"/>
                <w:sz w:val="18"/>
              </w:rPr>
              <w:t>Calculation rule</w:t>
            </w:r>
          </w:p>
        </w:tc>
      </w:tr>
      <w:tr>
        <w:trPr>
          <w:cantSplit/>
        </w:trPr>
        <w:tc>
          <w:tcPr>
            <w:tcW w:type="dxa" w:w="3240"/>
            <w:shd w:fill="FFFFFF"/>
            <w:tcMar>
              <w:top w:w="75" w:type="dxa"/>
              <w:start w:w="85" w:type="dxa"/>
              <w:bottom w:w="75" w:type="dxa"/>
              <w:end w:w="85" w:type="dxa"/>
            </w:tcMar>
            <w:vAlign w:val="center"/>
          </w:tcPr>
          <w:p>
            <w:pPr>
              <w:jc w:val="left"/>
            </w:pPr>
            <w:r>
              <w:rPr>
                <w:rFonts w:ascii="Aptos" w:hAnsi="Aptos"/>
                <w:b/>
                <w:color w:val="1F2933"/>
                <w:sz w:val="18"/>
              </w:rPr>
              <w:t>Number of panels</w:t>
            </w:r>
          </w:p>
        </w:tc>
        <w:tc>
          <w:tcPr>
            <w:tcW w:type="dxa" w:w="6120"/>
            <w:shd w:fill="FFFFFF"/>
            <w:tcMar>
              <w:top w:w="75" w:type="dxa"/>
              <w:start w:w="85" w:type="dxa"/>
              <w:bottom w:w="75" w:type="dxa"/>
              <w:end w:w="85" w:type="dxa"/>
            </w:tcMar>
            <w:vAlign w:val="center"/>
          </w:tcPr>
          <w:p>
            <w:pPr>
              <w:jc w:val="center"/>
            </w:pPr>
            <w:r>
              <w:rPr>
                <w:rFonts w:ascii="Aptos" w:hAnsi="Aptos"/>
                <w:b w:val="0"/>
                <w:color w:val="1F2933"/>
                <w:sz w:val="18"/>
              </w:rPr>
              <w:t>Ceiling[(Project MWp × 1,000,000W) ÷ 575W]</w:t>
            </w:r>
          </w:p>
        </w:tc>
      </w:tr>
      <w:tr>
        <w:trPr>
          <w:cantSplit/>
        </w:trPr>
        <w:tc>
          <w:tcPr>
            <w:tcW w:type="dxa" w:w="3240"/>
            <w:shd w:fill="F2F4F5"/>
            <w:tcMar>
              <w:top w:w="75" w:type="dxa"/>
              <w:start w:w="85" w:type="dxa"/>
              <w:bottom w:w="75" w:type="dxa"/>
              <w:end w:w="85" w:type="dxa"/>
            </w:tcMar>
            <w:vAlign w:val="center"/>
          </w:tcPr>
          <w:p>
            <w:pPr>
              <w:jc w:val="left"/>
            </w:pPr>
            <w:r>
              <w:rPr>
                <w:rFonts w:ascii="Aptos" w:hAnsi="Aptos"/>
                <w:b/>
                <w:color w:val="1F2933"/>
                <w:sz w:val="18"/>
              </w:rPr>
              <w:t>Target inverter capacity</w:t>
            </w:r>
          </w:p>
        </w:tc>
        <w:tc>
          <w:tcPr>
            <w:tcW w:type="dxa" w:w="6120"/>
            <w:shd w:fill="F2F4F5"/>
            <w:tcMar>
              <w:top w:w="75" w:type="dxa"/>
              <w:start w:w="85" w:type="dxa"/>
              <w:bottom w:w="75" w:type="dxa"/>
              <w:end w:w="85" w:type="dxa"/>
            </w:tcMar>
            <w:vAlign w:val="center"/>
          </w:tcPr>
          <w:p>
            <w:pPr>
              <w:jc w:val="center"/>
            </w:pPr>
            <w:r>
              <w:rPr>
                <w:rFonts w:ascii="Aptos" w:hAnsi="Aptos"/>
                <w:b w:val="0"/>
                <w:color w:val="1F2933"/>
                <w:sz w:val="18"/>
              </w:rPr>
              <w:t>Project MWp × 0.80MW AC per MWp</w:t>
            </w:r>
          </w:p>
        </w:tc>
      </w:tr>
      <w:tr>
        <w:trPr>
          <w:cantSplit/>
        </w:trPr>
        <w:tc>
          <w:tcPr>
            <w:tcW w:type="dxa" w:w="3240"/>
            <w:shd w:fill="FFFFFF"/>
            <w:tcMar>
              <w:top w:w="75" w:type="dxa"/>
              <w:start w:w="85" w:type="dxa"/>
              <w:bottom w:w="75" w:type="dxa"/>
              <w:end w:w="85" w:type="dxa"/>
            </w:tcMar>
            <w:vAlign w:val="center"/>
          </w:tcPr>
          <w:p>
            <w:pPr>
              <w:jc w:val="left"/>
            </w:pPr>
            <w:r>
              <w:rPr>
                <w:rFonts w:ascii="Aptos" w:hAnsi="Aptos"/>
                <w:b/>
                <w:color w:val="1F2933"/>
                <w:sz w:val="18"/>
              </w:rPr>
              <w:t>Number of 50kW inverter equivalents</w:t>
            </w:r>
          </w:p>
        </w:tc>
        <w:tc>
          <w:tcPr>
            <w:tcW w:type="dxa" w:w="6120"/>
            <w:shd w:fill="FFFFFF"/>
            <w:tcMar>
              <w:top w:w="75" w:type="dxa"/>
              <w:start w:w="85" w:type="dxa"/>
              <w:bottom w:w="75" w:type="dxa"/>
              <w:end w:w="85" w:type="dxa"/>
            </w:tcMar>
            <w:vAlign w:val="center"/>
          </w:tcPr>
          <w:p>
            <w:pPr>
              <w:jc w:val="center"/>
            </w:pPr>
            <w:r>
              <w:rPr>
                <w:rFonts w:ascii="Aptos" w:hAnsi="Aptos"/>
                <w:b w:val="0"/>
                <w:color w:val="1F2933"/>
                <w:sz w:val="18"/>
              </w:rPr>
              <w:t>Ceiling[(Target inverter kW) ÷ 50kW]</w:t>
            </w:r>
          </w:p>
        </w:tc>
      </w:tr>
      <w:tr>
        <w:trPr>
          <w:cantSplit/>
        </w:trPr>
        <w:tc>
          <w:tcPr>
            <w:tcW w:type="dxa" w:w="3240"/>
            <w:shd w:fill="F2F4F5"/>
            <w:tcMar>
              <w:top w:w="75" w:type="dxa"/>
              <w:start w:w="85" w:type="dxa"/>
              <w:bottom w:w="75" w:type="dxa"/>
              <w:end w:w="85" w:type="dxa"/>
            </w:tcMar>
            <w:vAlign w:val="center"/>
          </w:tcPr>
          <w:p>
            <w:pPr>
              <w:jc w:val="left"/>
            </w:pPr>
            <w:r>
              <w:rPr>
                <w:rFonts w:ascii="Aptos" w:hAnsi="Aptos"/>
                <w:b/>
                <w:color w:val="1F2933"/>
                <w:sz w:val="18"/>
              </w:rPr>
              <w:t>Target battery capacity</w:t>
            </w:r>
          </w:p>
        </w:tc>
        <w:tc>
          <w:tcPr>
            <w:tcW w:type="dxa" w:w="6120"/>
            <w:shd w:fill="F2F4F5"/>
            <w:tcMar>
              <w:top w:w="75" w:type="dxa"/>
              <w:start w:w="85" w:type="dxa"/>
              <w:bottom w:w="75" w:type="dxa"/>
              <w:end w:w="85" w:type="dxa"/>
            </w:tcMar>
            <w:vAlign w:val="center"/>
          </w:tcPr>
          <w:p>
            <w:pPr>
              <w:jc w:val="center"/>
            </w:pPr>
            <w:r>
              <w:rPr>
                <w:rFonts w:ascii="Aptos" w:hAnsi="Aptos"/>
                <w:b w:val="0"/>
                <w:color w:val="1F2933"/>
                <w:sz w:val="18"/>
              </w:rPr>
              <w:t>Project MWp × 1,000kWh per MWp</w:t>
            </w:r>
          </w:p>
        </w:tc>
      </w:tr>
      <w:tr>
        <w:trPr>
          <w:cantSplit/>
        </w:trPr>
        <w:tc>
          <w:tcPr>
            <w:tcW w:type="dxa" w:w="3240"/>
            <w:shd w:fill="FFFFFF"/>
            <w:tcMar>
              <w:top w:w="75" w:type="dxa"/>
              <w:start w:w="85" w:type="dxa"/>
              <w:bottom w:w="75" w:type="dxa"/>
              <w:end w:w="85" w:type="dxa"/>
            </w:tcMar>
            <w:vAlign w:val="center"/>
          </w:tcPr>
          <w:p>
            <w:pPr>
              <w:jc w:val="left"/>
            </w:pPr>
            <w:r>
              <w:rPr>
                <w:rFonts w:ascii="Aptos" w:hAnsi="Aptos"/>
                <w:b/>
                <w:color w:val="1F2933"/>
                <w:sz w:val="18"/>
              </w:rPr>
              <w:t>Number of 5.12kWh battery modules</w:t>
            </w:r>
          </w:p>
        </w:tc>
        <w:tc>
          <w:tcPr>
            <w:tcW w:type="dxa" w:w="6120"/>
            <w:shd w:fill="FFFFFF"/>
            <w:tcMar>
              <w:top w:w="75" w:type="dxa"/>
              <w:start w:w="85" w:type="dxa"/>
              <w:bottom w:w="75" w:type="dxa"/>
              <w:end w:w="85" w:type="dxa"/>
            </w:tcMar>
            <w:vAlign w:val="center"/>
          </w:tcPr>
          <w:p>
            <w:pPr>
              <w:jc w:val="center"/>
            </w:pPr>
            <w:r>
              <w:rPr>
                <w:rFonts w:ascii="Aptos" w:hAnsi="Aptos"/>
                <w:b w:val="0"/>
                <w:color w:val="1F2933"/>
                <w:sz w:val="18"/>
              </w:rPr>
              <w:t>Ceiling[(Target battery kWh) ÷ 5.12kWh]</w:t>
            </w:r>
          </w:p>
        </w:tc>
      </w:tr>
    </w:tbl>
    <w:p>
      <w:pPr>
        <w:pStyle w:val="Heading2"/>
        <w:keepNext/>
      </w:pPr>
      <w:r>
        <w:rPr>
          <w:rFonts w:ascii="Aptos" w:hAnsi="Aptos"/>
          <w:b/>
          <w:color w:val="0F7896"/>
          <w:sz w:val="24"/>
        </w:rPr>
        <w:t>2.2 Resulting equipment quantities</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080"/>
            <w:shd w:fill="0B3B60"/>
            <w:vAlign w:val="center"/>
            <w:tcMar>
              <w:top w:w="90" w:type="dxa"/>
              <w:start w:w="90" w:type="dxa"/>
              <w:bottom w:w="90" w:type="dxa"/>
              <w:end w:w="90" w:type="dxa"/>
            </w:tcMar>
          </w:tcPr>
          <w:p>
            <w:pPr>
              <w:jc w:val="center"/>
            </w:pPr>
            <w:r>
              <w:rPr>
                <w:rFonts w:ascii="Aptos" w:hAnsi="Aptos"/>
                <w:b/>
                <w:color w:val="FFFFFF"/>
                <w:sz w:val="16"/>
              </w:rPr>
              <w:t>PV size</w:t>
            </w:r>
          </w:p>
        </w:tc>
        <w:tc>
          <w:tcPr>
            <w:tcW w:type="dxa" w:w="1440"/>
            <w:shd w:fill="0B3B60"/>
            <w:vAlign w:val="center"/>
            <w:tcMar>
              <w:top w:w="90" w:type="dxa"/>
              <w:start w:w="90" w:type="dxa"/>
              <w:bottom w:w="90" w:type="dxa"/>
              <w:end w:w="90" w:type="dxa"/>
            </w:tcMar>
          </w:tcPr>
          <w:p>
            <w:pPr>
              <w:jc w:val="center"/>
            </w:pPr>
            <w:r>
              <w:rPr>
                <w:rFonts w:ascii="Aptos" w:hAnsi="Aptos"/>
                <w:b/>
                <w:color w:val="FFFFFF"/>
                <w:sz w:val="16"/>
              </w:rPr>
              <w:t>575W panels</w:t>
            </w:r>
          </w:p>
        </w:tc>
        <w:tc>
          <w:tcPr>
            <w:tcW w:type="dxa" w:w="1296"/>
            <w:shd w:fill="0B3B60"/>
            <w:vAlign w:val="center"/>
            <w:tcMar>
              <w:top w:w="90" w:type="dxa"/>
              <w:start w:w="90" w:type="dxa"/>
              <w:bottom w:w="90" w:type="dxa"/>
              <w:end w:w="90" w:type="dxa"/>
            </w:tcMar>
          </w:tcPr>
          <w:p>
            <w:pPr>
              <w:jc w:val="center"/>
            </w:pPr>
            <w:r>
              <w:rPr>
                <w:rFonts w:ascii="Aptos" w:hAnsi="Aptos"/>
                <w:b/>
                <w:color w:val="FFFFFF"/>
                <w:sz w:val="16"/>
              </w:rPr>
              <w:t>Target AC</w:t>
            </w:r>
          </w:p>
        </w:tc>
        <w:tc>
          <w:tcPr>
            <w:tcW w:type="dxa" w:w="1656"/>
            <w:shd w:fill="0B3B60"/>
            <w:vAlign w:val="center"/>
            <w:tcMar>
              <w:top w:w="90" w:type="dxa"/>
              <w:start w:w="90" w:type="dxa"/>
              <w:bottom w:w="90" w:type="dxa"/>
              <w:end w:w="90" w:type="dxa"/>
            </w:tcMar>
          </w:tcPr>
          <w:p>
            <w:pPr>
              <w:jc w:val="center"/>
            </w:pPr>
            <w:r>
              <w:rPr>
                <w:rFonts w:ascii="Aptos" w:hAnsi="Aptos"/>
                <w:b/>
                <w:color w:val="FFFFFF"/>
                <w:sz w:val="16"/>
              </w:rPr>
              <w:t>50kW equivalents</w:t>
            </w:r>
          </w:p>
        </w:tc>
        <w:tc>
          <w:tcPr>
            <w:tcW w:type="dxa" w:w="1440"/>
            <w:shd w:fill="0B3B60"/>
            <w:vAlign w:val="center"/>
            <w:tcMar>
              <w:top w:w="90" w:type="dxa"/>
              <w:start w:w="90" w:type="dxa"/>
              <w:bottom w:w="90" w:type="dxa"/>
              <w:end w:w="90" w:type="dxa"/>
            </w:tcMar>
          </w:tcPr>
          <w:p>
            <w:pPr>
              <w:jc w:val="center"/>
            </w:pPr>
            <w:r>
              <w:rPr>
                <w:rFonts w:ascii="Aptos" w:hAnsi="Aptos"/>
                <w:b/>
                <w:color w:val="FFFFFF"/>
                <w:sz w:val="16"/>
              </w:rPr>
              <w:t>Battery target</w:t>
            </w:r>
          </w:p>
        </w:tc>
        <w:tc>
          <w:tcPr>
            <w:tcW w:type="dxa" w:w="1656"/>
            <w:shd w:fill="0B3B60"/>
            <w:vAlign w:val="center"/>
            <w:tcMar>
              <w:top w:w="90" w:type="dxa"/>
              <w:start w:w="90" w:type="dxa"/>
              <w:bottom w:w="90" w:type="dxa"/>
              <w:end w:w="90" w:type="dxa"/>
            </w:tcMar>
          </w:tcPr>
          <w:p>
            <w:pPr>
              <w:jc w:val="center"/>
            </w:pPr>
            <w:r>
              <w:rPr>
                <w:rFonts w:ascii="Aptos" w:hAnsi="Aptos"/>
                <w:b/>
                <w:color w:val="FFFFFF"/>
                <w:sz w:val="16"/>
              </w:rPr>
              <w:t>5.12kWh modules</w:t>
            </w:r>
          </w:p>
        </w:tc>
      </w:tr>
      <w:tr>
        <w:trPr>
          <w:cantSplit/>
        </w:trPr>
        <w:tc>
          <w:tcPr>
            <w:tcW w:type="dxa" w:w="1080"/>
            <w:shd w:fill="FFFFFF"/>
            <w:tcMar>
              <w:top w:w="75" w:type="dxa"/>
              <w:start w:w="85" w:type="dxa"/>
              <w:bottom w:w="75" w:type="dxa"/>
              <w:end w:w="85" w:type="dxa"/>
            </w:tcMar>
            <w:vAlign w:val="center"/>
          </w:tcPr>
          <w:p>
            <w:pPr>
              <w:jc w:val="left"/>
            </w:pPr>
            <w:r>
              <w:rPr>
                <w:rFonts w:ascii="Aptos" w:hAnsi="Aptos"/>
                <w:b w:val="0"/>
                <w:color w:val="1F2933"/>
                <w:sz w:val="16"/>
              </w:rPr>
              <w:t>1MWp</w:t>
            </w:r>
          </w:p>
        </w:tc>
        <w:tc>
          <w:tcPr>
            <w:tcW w:type="dxa" w:w="1440"/>
            <w:shd w:fill="FFFFFF"/>
            <w:tcMar>
              <w:top w:w="75" w:type="dxa"/>
              <w:start w:w="85" w:type="dxa"/>
              <w:bottom w:w="75" w:type="dxa"/>
              <w:end w:w="85" w:type="dxa"/>
            </w:tcMar>
            <w:vAlign w:val="center"/>
          </w:tcPr>
          <w:p>
            <w:pPr>
              <w:jc w:val="center"/>
            </w:pPr>
            <w:r>
              <w:rPr>
                <w:rFonts w:ascii="Aptos" w:hAnsi="Aptos"/>
                <w:b w:val="0"/>
                <w:color w:val="1F2933"/>
                <w:sz w:val="16"/>
              </w:rPr>
              <w:t>1,740</w:t>
            </w:r>
          </w:p>
        </w:tc>
        <w:tc>
          <w:tcPr>
            <w:tcW w:type="dxa" w:w="1296"/>
            <w:shd w:fill="FFFFFF"/>
            <w:tcMar>
              <w:top w:w="75" w:type="dxa"/>
              <w:start w:w="85" w:type="dxa"/>
              <w:bottom w:w="75" w:type="dxa"/>
              <w:end w:w="85" w:type="dxa"/>
            </w:tcMar>
            <w:vAlign w:val="center"/>
          </w:tcPr>
          <w:p>
            <w:pPr>
              <w:jc w:val="center"/>
            </w:pPr>
            <w:r>
              <w:rPr>
                <w:rFonts w:ascii="Aptos" w:hAnsi="Aptos"/>
                <w:b w:val="0"/>
                <w:color w:val="1F2933"/>
                <w:sz w:val="16"/>
              </w:rPr>
              <w:t>0.8MW</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16</w:t>
            </w:r>
          </w:p>
        </w:tc>
        <w:tc>
          <w:tcPr>
            <w:tcW w:type="dxa" w:w="1440"/>
            <w:shd w:fill="FFFFFF"/>
            <w:tcMar>
              <w:top w:w="75" w:type="dxa"/>
              <w:start w:w="85" w:type="dxa"/>
              <w:bottom w:w="75" w:type="dxa"/>
              <w:end w:w="85" w:type="dxa"/>
            </w:tcMar>
            <w:vAlign w:val="center"/>
          </w:tcPr>
          <w:p>
            <w:pPr>
              <w:jc w:val="center"/>
            </w:pPr>
            <w:r>
              <w:rPr>
                <w:rFonts w:ascii="Aptos" w:hAnsi="Aptos"/>
                <w:b w:val="0"/>
                <w:color w:val="1F2933"/>
                <w:sz w:val="16"/>
              </w:rPr>
              <w:t>1MWh</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196</w:t>
            </w:r>
          </w:p>
        </w:tc>
      </w:tr>
      <w:tr>
        <w:trPr>
          <w:cantSplit/>
        </w:trPr>
        <w:tc>
          <w:tcPr>
            <w:tcW w:type="dxa" w:w="1080"/>
            <w:shd w:fill="F2F4F5"/>
            <w:tcMar>
              <w:top w:w="75" w:type="dxa"/>
              <w:start w:w="85" w:type="dxa"/>
              <w:bottom w:w="75" w:type="dxa"/>
              <w:end w:w="85" w:type="dxa"/>
            </w:tcMar>
            <w:vAlign w:val="center"/>
          </w:tcPr>
          <w:p>
            <w:pPr>
              <w:jc w:val="left"/>
            </w:pPr>
            <w:r>
              <w:rPr>
                <w:rFonts w:ascii="Aptos" w:hAnsi="Aptos"/>
                <w:b w:val="0"/>
                <w:color w:val="1F2933"/>
                <w:sz w:val="16"/>
              </w:rPr>
              <w:t>5MWp</w:t>
            </w:r>
          </w:p>
        </w:tc>
        <w:tc>
          <w:tcPr>
            <w:tcW w:type="dxa" w:w="1440"/>
            <w:shd w:fill="F2F4F5"/>
            <w:tcMar>
              <w:top w:w="75" w:type="dxa"/>
              <w:start w:w="85" w:type="dxa"/>
              <w:bottom w:w="75" w:type="dxa"/>
              <w:end w:w="85" w:type="dxa"/>
            </w:tcMar>
            <w:vAlign w:val="center"/>
          </w:tcPr>
          <w:p>
            <w:pPr>
              <w:jc w:val="center"/>
            </w:pPr>
            <w:r>
              <w:rPr>
                <w:rFonts w:ascii="Aptos" w:hAnsi="Aptos"/>
                <w:b w:val="0"/>
                <w:color w:val="1F2933"/>
                <w:sz w:val="16"/>
              </w:rPr>
              <w:t>8,696</w:t>
            </w:r>
          </w:p>
        </w:tc>
        <w:tc>
          <w:tcPr>
            <w:tcW w:type="dxa" w:w="1296"/>
            <w:shd w:fill="F2F4F5"/>
            <w:tcMar>
              <w:top w:w="75" w:type="dxa"/>
              <w:start w:w="85" w:type="dxa"/>
              <w:bottom w:w="75" w:type="dxa"/>
              <w:end w:w="85" w:type="dxa"/>
            </w:tcMar>
            <w:vAlign w:val="center"/>
          </w:tcPr>
          <w:p>
            <w:pPr>
              <w:jc w:val="center"/>
            </w:pPr>
            <w:r>
              <w:rPr>
                <w:rFonts w:ascii="Aptos" w:hAnsi="Aptos"/>
                <w:b w:val="0"/>
                <w:color w:val="1F2933"/>
                <w:sz w:val="16"/>
              </w:rPr>
              <w:t>4.0MW</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80</w:t>
            </w:r>
          </w:p>
        </w:tc>
        <w:tc>
          <w:tcPr>
            <w:tcW w:type="dxa" w:w="1440"/>
            <w:shd w:fill="F2F4F5"/>
            <w:tcMar>
              <w:top w:w="75" w:type="dxa"/>
              <w:start w:w="85" w:type="dxa"/>
              <w:bottom w:w="75" w:type="dxa"/>
              <w:end w:w="85" w:type="dxa"/>
            </w:tcMar>
            <w:vAlign w:val="center"/>
          </w:tcPr>
          <w:p>
            <w:pPr>
              <w:jc w:val="center"/>
            </w:pPr>
            <w:r>
              <w:rPr>
                <w:rFonts w:ascii="Aptos" w:hAnsi="Aptos"/>
                <w:b w:val="0"/>
                <w:color w:val="1F2933"/>
                <w:sz w:val="16"/>
              </w:rPr>
              <w:t>5MWh</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977</w:t>
            </w:r>
          </w:p>
        </w:tc>
      </w:tr>
      <w:tr>
        <w:trPr>
          <w:cantSplit/>
        </w:trPr>
        <w:tc>
          <w:tcPr>
            <w:tcW w:type="dxa" w:w="1080"/>
            <w:shd w:fill="FFFFFF"/>
            <w:tcMar>
              <w:top w:w="75" w:type="dxa"/>
              <w:start w:w="85" w:type="dxa"/>
              <w:bottom w:w="75" w:type="dxa"/>
              <w:end w:w="85" w:type="dxa"/>
            </w:tcMar>
            <w:vAlign w:val="center"/>
          </w:tcPr>
          <w:p>
            <w:pPr>
              <w:jc w:val="left"/>
            </w:pPr>
            <w:r>
              <w:rPr>
                <w:rFonts w:ascii="Aptos" w:hAnsi="Aptos"/>
                <w:b w:val="0"/>
                <w:color w:val="1F2933"/>
                <w:sz w:val="16"/>
              </w:rPr>
              <w:t>10MWp</w:t>
            </w:r>
          </w:p>
        </w:tc>
        <w:tc>
          <w:tcPr>
            <w:tcW w:type="dxa" w:w="1440"/>
            <w:shd w:fill="FFFFFF"/>
            <w:tcMar>
              <w:top w:w="75" w:type="dxa"/>
              <w:start w:w="85" w:type="dxa"/>
              <w:bottom w:w="75" w:type="dxa"/>
              <w:end w:w="85" w:type="dxa"/>
            </w:tcMar>
            <w:vAlign w:val="center"/>
          </w:tcPr>
          <w:p>
            <w:pPr>
              <w:jc w:val="center"/>
            </w:pPr>
            <w:r>
              <w:rPr>
                <w:rFonts w:ascii="Aptos" w:hAnsi="Aptos"/>
                <w:b w:val="0"/>
                <w:color w:val="1F2933"/>
                <w:sz w:val="16"/>
              </w:rPr>
              <w:t>17,392</w:t>
            </w:r>
          </w:p>
        </w:tc>
        <w:tc>
          <w:tcPr>
            <w:tcW w:type="dxa" w:w="1296"/>
            <w:shd w:fill="FFFFFF"/>
            <w:tcMar>
              <w:top w:w="75" w:type="dxa"/>
              <w:start w:w="85" w:type="dxa"/>
              <w:bottom w:w="75" w:type="dxa"/>
              <w:end w:w="85" w:type="dxa"/>
            </w:tcMar>
            <w:vAlign w:val="center"/>
          </w:tcPr>
          <w:p>
            <w:pPr>
              <w:jc w:val="center"/>
            </w:pPr>
            <w:r>
              <w:rPr>
                <w:rFonts w:ascii="Aptos" w:hAnsi="Aptos"/>
                <w:b w:val="0"/>
                <w:color w:val="1F2933"/>
                <w:sz w:val="16"/>
              </w:rPr>
              <w:t>8.0MW</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160</w:t>
            </w:r>
          </w:p>
        </w:tc>
        <w:tc>
          <w:tcPr>
            <w:tcW w:type="dxa" w:w="1440"/>
            <w:shd w:fill="FFFFFF"/>
            <w:tcMar>
              <w:top w:w="75" w:type="dxa"/>
              <w:start w:w="85" w:type="dxa"/>
              <w:bottom w:w="75" w:type="dxa"/>
              <w:end w:w="85" w:type="dxa"/>
            </w:tcMar>
            <w:vAlign w:val="center"/>
          </w:tcPr>
          <w:p>
            <w:pPr>
              <w:jc w:val="center"/>
            </w:pPr>
            <w:r>
              <w:rPr>
                <w:rFonts w:ascii="Aptos" w:hAnsi="Aptos"/>
                <w:b w:val="0"/>
                <w:color w:val="1F2933"/>
                <w:sz w:val="16"/>
              </w:rPr>
              <w:t>10MWh</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1,954</w:t>
            </w:r>
          </w:p>
        </w:tc>
      </w:tr>
    </w:tbl>
    <w:p>
      <w:pPr>
        <w:spacing w:after="100" w:line="276" w:lineRule="auto"/>
      </w:pPr>
      <w:r>
        <w:rPr>
          <w:rFonts w:ascii="Aptos" w:hAnsi="Aptos"/>
          <w:color w:val="1F2933"/>
          <w:sz w:val="19"/>
        </w:rPr>
        <w:t>At 5MW and 10MW, JMG may use larger string inverters, central inverters or a dedicated power-conversion system rather than physically installing 80 or 160 units of 50kW equipment. The 50kW quantities are cost-equivalent units used to make the calculation transparent.</w:t>
      </w:r>
    </w:p>
    <w:p>
      <w:pPr>
        <w:pStyle w:val="Heading1"/>
        <w:keepNext/>
      </w:pPr>
      <w:r>
        <w:rPr>
          <w:rFonts w:ascii="Aptos" w:hAnsi="Aptos"/>
          <w:b/>
          <w:color w:val="0B3B60"/>
          <w:sz w:val="32"/>
        </w:rPr>
        <w:t>3. Detailed Bottom-Up Calculation for 1MW</w:t>
      </w:r>
    </w:p>
    <w:p>
      <w:pPr>
        <w:pStyle w:val="Heading2"/>
        <w:keepNext/>
      </w:pPr>
      <w:r>
        <w:rPr>
          <w:rFonts w:ascii="Aptos" w:hAnsi="Aptos"/>
          <w:b/>
          <w:color w:val="0F7896"/>
          <w:sz w:val="24"/>
        </w:rPr>
        <w:t>3.1 Core equipment assumptions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232"/>
            <w:shd w:fill="0B3B60"/>
            <w:vAlign w:val="center"/>
            <w:tcMar>
              <w:top w:w="90" w:type="dxa"/>
              <w:start w:w="90" w:type="dxa"/>
              <w:bottom w:w="90" w:type="dxa"/>
              <w:end w:w="90" w:type="dxa"/>
            </w:tcMar>
          </w:tcPr>
          <w:p>
            <w:pPr>
              <w:jc w:val="center"/>
            </w:pPr>
            <w:r>
              <w:rPr>
                <w:rFonts w:ascii="Aptos" w:hAnsi="Aptos"/>
                <w:b/>
                <w:color w:val="FFFFFF"/>
                <w:sz w:val="16"/>
              </w:rPr>
              <w:t>Component</w:t>
            </w:r>
          </w:p>
        </w:tc>
        <w:tc>
          <w:tcPr>
            <w:tcW w:type="dxa" w:w="1224"/>
            <w:shd w:fill="0B3B60"/>
            <w:vAlign w:val="center"/>
            <w:tcMar>
              <w:top w:w="90" w:type="dxa"/>
              <w:start w:w="90" w:type="dxa"/>
              <w:bottom w:w="90" w:type="dxa"/>
              <w:end w:w="90" w:type="dxa"/>
            </w:tcMar>
          </w:tcPr>
          <w:p>
            <w:pPr>
              <w:jc w:val="center"/>
            </w:pPr>
            <w:r>
              <w:rPr>
                <w:rFonts w:ascii="Aptos" w:hAnsi="Aptos"/>
                <w:b/>
                <w:color w:val="FFFFFF"/>
                <w:sz w:val="16"/>
              </w:rPr>
              <w:t>Quantity</w:t>
            </w:r>
          </w:p>
        </w:tc>
        <w:tc>
          <w:tcPr>
            <w:tcW w:type="dxa" w:w="1944"/>
            <w:shd w:fill="0B3B60"/>
            <w:vAlign w:val="center"/>
            <w:tcMar>
              <w:top w:w="90" w:type="dxa"/>
              <w:start w:w="90" w:type="dxa"/>
              <w:bottom w:w="90" w:type="dxa"/>
              <w:end w:w="90" w:type="dxa"/>
            </w:tcMar>
          </w:tcPr>
          <w:p>
            <w:pPr>
              <w:jc w:val="center"/>
            </w:pPr>
            <w:r>
              <w:rPr>
                <w:rFonts w:ascii="Aptos" w:hAnsi="Aptos"/>
                <w:b/>
                <w:color w:val="FFFFFF"/>
                <w:sz w:val="16"/>
              </w:rPr>
              <w:t>Unit-price range</w:t>
            </w:r>
          </w:p>
        </w:tc>
        <w:tc>
          <w:tcPr>
            <w:tcW w:type="dxa" w:w="3960"/>
            <w:shd w:fill="0B3B60"/>
            <w:vAlign w:val="center"/>
            <w:tcMar>
              <w:top w:w="90" w:type="dxa"/>
              <w:start w:w="90" w:type="dxa"/>
              <w:bottom w:w="90" w:type="dxa"/>
              <w:end w:w="90" w:type="dxa"/>
            </w:tcMar>
          </w:tcPr>
          <w:p>
            <w:pPr>
              <w:jc w:val="center"/>
            </w:pPr>
            <w:r>
              <w:rPr>
                <w:rFonts w:ascii="Aptos" w:hAnsi="Aptos"/>
                <w:b/>
                <w:color w:val="FFFFFF"/>
                <w:sz w:val="16"/>
              </w:rPr>
              <w:t>Basis</w:t>
            </w:r>
          </w:p>
        </w:tc>
      </w:tr>
      <w:tr>
        <w:trPr>
          <w:cantSplit/>
        </w:trPr>
        <w:tc>
          <w:tcPr>
            <w:tcW w:type="dxa" w:w="2232"/>
            <w:shd w:fill="FFFFFF"/>
            <w:tcMar>
              <w:top w:w="75" w:type="dxa"/>
              <w:start w:w="85" w:type="dxa"/>
              <w:bottom w:w="75" w:type="dxa"/>
              <w:end w:w="85" w:type="dxa"/>
            </w:tcMar>
            <w:vAlign w:val="center"/>
          </w:tcPr>
          <w:p>
            <w:pPr>
              <w:jc w:val="left"/>
            </w:pPr>
            <w:r>
              <w:rPr>
                <w:rFonts w:ascii="Aptos" w:hAnsi="Aptos"/>
                <w:b/>
                <w:color w:val="1F2933"/>
                <w:sz w:val="16"/>
              </w:rPr>
              <w:t>LONGi 575W module</w:t>
            </w:r>
          </w:p>
        </w:tc>
        <w:tc>
          <w:tcPr>
            <w:tcW w:type="dxa" w:w="1224"/>
            <w:shd w:fill="FFFFFF"/>
            <w:tcMar>
              <w:top w:w="75" w:type="dxa"/>
              <w:start w:w="85" w:type="dxa"/>
              <w:bottom w:w="75" w:type="dxa"/>
              <w:end w:w="85" w:type="dxa"/>
            </w:tcMar>
            <w:vAlign w:val="center"/>
          </w:tcPr>
          <w:p>
            <w:pPr>
              <w:jc w:val="center"/>
            </w:pPr>
            <w:r>
              <w:rPr>
                <w:rFonts w:ascii="Aptos" w:hAnsi="Aptos"/>
                <w:b w:val="0"/>
                <w:color w:val="1F2933"/>
                <w:sz w:val="16"/>
              </w:rPr>
              <w:t>1,740 units</w:t>
            </w:r>
          </w:p>
        </w:tc>
        <w:tc>
          <w:tcPr>
            <w:tcW w:type="dxa" w:w="1944"/>
            <w:shd w:fill="FFFFFF"/>
            <w:tcMar>
              <w:top w:w="75" w:type="dxa"/>
              <w:start w:w="85" w:type="dxa"/>
              <w:bottom w:w="75" w:type="dxa"/>
              <w:end w:w="85" w:type="dxa"/>
            </w:tcMar>
            <w:vAlign w:val="center"/>
          </w:tcPr>
          <w:p>
            <w:pPr>
              <w:jc w:val="center"/>
            </w:pPr>
            <w:r>
              <w:rPr>
                <w:rFonts w:ascii="Aptos" w:hAnsi="Aptos"/>
                <w:b w:val="0"/>
                <w:color w:val="1F2933"/>
                <w:sz w:val="16"/>
              </w:rPr>
              <w:t>₦150,000–₦168,200 each</w:t>
            </w:r>
          </w:p>
        </w:tc>
        <w:tc>
          <w:tcPr>
            <w:tcW w:type="dxa" w:w="3960"/>
            <w:shd w:fill="FFFFFF"/>
            <w:tcMar>
              <w:top w:w="75" w:type="dxa"/>
              <w:start w:w="85" w:type="dxa"/>
              <w:bottom w:w="75" w:type="dxa"/>
              <w:end w:w="85" w:type="dxa"/>
            </w:tcMar>
            <w:vAlign w:val="center"/>
          </w:tcPr>
          <w:p>
            <w:pPr>
              <w:jc w:val="center"/>
            </w:pPr>
            <w:r>
              <w:rPr>
                <w:rFonts w:ascii="Aptos" w:hAnsi="Aptos"/>
                <w:b w:val="0"/>
                <w:color w:val="1F2933"/>
                <w:sz w:val="16"/>
              </w:rPr>
              <w:t>Large-order working range used in the original estimate; public retail can be higher.</w:t>
            </w:r>
          </w:p>
        </w:tc>
      </w:tr>
      <w:tr>
        <w:trPr>
          <w:cantSplit/>
        </w:trPr>
        <w:tc>
          <w:tcPr>
            <w:tcW w:type="dxa" w:w="2232"/>
            <w:shd w:fill="F2F4F5"/>
            <w:tcMar>
              <w:top w:w="75" w:type="dxa"/>
              <w:start w:w="85" w:type="dxa"/>
              <w:bottom w:w="75" w:type="dxa"/>
              <w:end w:w="85" w:type="dxa"/>
            </w:tcMar>
            <w:vAlign w:val="center"/>
          </w:tcPr>
          <w:p>
            <w:pPr>
              <w:jc w:val="left"/>
            </w:pPr>
            <w:r>
              <w:rPr>
                <w:rFonts w:ascii="Aptos" w:hAnsi="Aptos"/>
                <w:b/>
                <w:color w:val="1F2933"/>
                <w:sz w:val="16"/>
              </w:rPr>
              <w:t>Deye 50kW hybrid inverter equivalent</w:t>
            </w:r>
          </w:p>
        </w:tc>
        <w:tc>
          <w:tcPr>
            <w:tcW w:type="dxa" w:w="1224"/>
            <w:shd w:fill="F2F4F5"/>
            <w:tcMar>
              <w:top w:w="75" w:type="dxa"/>
              <w:start w:w="85" w:type="dxa"/>
              <w:bottom w:w="75" w:type="dxa"/>
              <w:end w:w="85" w:type="dxa"/>
            </w:tcMar>
            <w:vAlign w:val="center"/>
          </w:tcPr>
          <w:p>
            <w:pPr>
              <w:jc w:val="center"/>
            </w:pPr>
            <w:r>
              <w:rPr>
                <w:rFonts w:ascii="Aptos" w:hAnsi="Aptos"/>
                <w:b w:val="0"/>
                <w:color w:val="1F2933"/>
                <w:sz w:val="16"/>
              </w:rPr>
              <w:t>16 units</w:t>
            </w:r>
          </w:p>
        </w:tc>
        <w:tc>
          <w:tcPr>
            <w:tcW w:type="dxa" w:w="1944"/>
            <w:shd w:fill="F2F4F5"/>
            <w:tcMar>
              <w:top w:w="75" w:type="dxa"/>
              <w:start w:w="85" w:type="dxa"/>
              <w:bottom w:w="75" w:type="dxa"/>
              <w:end w:w="85" w:type="dxa"/>
            </w:tcMar>
            <w:vAlign w:val="center"/>
          </w:tcPr>
          <w:p>
            <w:pPr>
              <w:jc w:val="center"/>
            </w:pPr>
            <w:r>
              <w:rPr>
                <w:rFonts w:ascii="Aptos" w:hAnsi="Aptos"/>
                <w:b w:val="0"/>
                <w:color w:val="1F2933"/>
                <w:sz w:val="16"/>
              </w:rPr>
              <w:t>₦5.50m–₦7.36m each</w:t>
            </w:r>
          </w:p>
        </w:tc>
        <w:tc>
          <w:tcPr>
            <w:tcW w:type="dxa" w:w="3960"/>
            <w:shd w:fill="F2F4F5"/>
            <w:tcMar>
              <w:top w:w="75" w:type="dxa"/>
              <w:start w:w="85" w:type="dxa"/>
              <w:bottom w:w="75" w:type="dxa"/>
              <w:end w:w="85" w:type="dxa"/>
            </w:tcMar>
            <w:vAlign w:val="center"/>
          </w:tcPr>
          <w:p>
            <w:pPr>
              <w:jc w:val="center"/>
            </w:pPr>
            <w:r>
              <w:rPr>
                <w:rFonts w:ascii="Aptos" w:hAnsi="Aptos"/>
                <w:b w:val="0"/>
                <w:color w:val="1F2933"/>
                <w:sz w:val="16"/>
              </w:rPr>
              <w:t>Lower end reflects bulk/competitive procurement; upper end aligns with public retail checks.</w:t>
            </w:r>
          </w:p>
        </w:tc>
      </w:tr>
      <w:tr>
        <w:trPr>
          <w:cantSplit/>
        </w:trPr>
        <w:tc>
          <w:tcPr>
            <w:tcW w:type="dxa" w:w="2232"/>
            <w:shd w:fill="FFFFFF"/>
            <w:tcMar>
              <w:top w:w="75" w:type="dxa"/>
              <w:start w:w="85" w:type="dxa"/>
              <w:bottom w:w="75" w:type="dxa"/>
              <w:end w:w="85" w:type="dxa"/>
            </w:tcMar>
            <w:vAlign w:val="center"/>
          </w:tcPr>
          <w:p>
            <w:pPr>
              <w:jc w:val="left"/>
            </w:pPr>
            <w:r>
              <w:rPr>
                <w:rFonts w:ascii="Aptos" w:hAnsi="Aptos"/>
                <w:b/>
                <w:color w:val="1F2933"/>
                <w:sz w:val="16"/>
              </w:rPr>
              <w:t>Deye BOS-G 5.12kWh battery module</w:t>
            </w:r>
          </w:p>
        </w:tc>
        <w:tc>
          <w:tcPr>
            <w:tcW w:type="dxa" w:w="1224"/>
            <w:shd w:fill="FFFFFF"/>
            <w:tcMar>
              <w:top w:w="75" w:type="dxa"/>
              <w:start w:w="85" w:type="dxa"/>
              <w:bottom w:w="75" w:type="dxa"/>
              <w:end w:w="85" w:type="dxa"/>
            </w:tcMar>
            <w:vAlign w:val="center"/>
          </w:tcPr>
          <w:p>
            <w:pPr>
              <w:jc w:val="center"/>
            </w:pPr>
            <w:r>
              <w:rPr>
                <w:rFonts w:ascii="Aptos" w:hAnsi="Aptos"/>
                <w:b w:val="0"/>
                <w:color w:val="1F2933"/>
                <w:sz w:val="16"/>
              </w:rPr>
              <w:t>196 units</w:t>
            </w:r>
          </w:p>
        </w:tc>
        <w:tc>
          <w:tcPr>
            <w:tcW w:type="dxa" w:w="1944"/>
            <w:shd w:fill="FFFFFF"/>
            <w:tcMar>
              <w:top w:w="75" w:type="dxa"/>
              <w:start w:w="85" w:type="dxa"/>
              <w:bottom w:w="75" w:type="dxa"/>
              <w:end w:w="85" w:type="dxa"/>
            </w:tcMar>
            <w:vAlign w:val="center"/>
          </w:tcPr>
          <w:p>
            <w:pPr>
              <w:jc w:val="center"/>
            </w:pPr>
            <w:r>
              <w:rPr>
                <w:rFonts w:ascii="Aptos" w:hAnsi="Aptos"/>
                <w:b w:val="0"/>
                <w:color w:val="1F2933"/>
                <w:sz w:val="16"/>
              </w:rPr>
              <w:t>₦1.265m–₦1.650m each</w:t>
            </w:r>
          </w:p>
        </w:tc>
        <w:tc>
          <w:tcPr>
            <w:tcW w:type="dxa" w:w="3960"/>
            <w:shd w:fill="FFFFFF"/>
            <w:tcMar>
              <w:top w:w="75" w:type="dxa"/>
              <w:start w:w="85" w:type="dxa"/>
              <w:bottom w:w="75" w:type="dxa"/>
              <w:end w:w="85" w:type="dxa"/>
            </w:tcMar>
            <w:vAlign w:val="center"/>
          </w:tcPr>
          <w:p>
            <w:pPr>
              <w:jc w:val="center"/>
            </w:pPr>
            <w:r>
              <w:rPr>
                <w:rFonts w:ascii="Aptos" w:hAnsi="Aptos"/>
                <w:b w:val="0"/>
                <w:color w:val="1F2933"/>
                <w:sz w:val="16"/>
              </w:rPr>
              <w:t>Produces approximately 1.004MWh nominal storage before usable-capacity limits.</w:t>
            </w:r>
          </w:p>
        </w:tc>
      </w:tr>
    </w:tbl>
    <w:p>
      <w:pPr>
        <w:pStyle w:val="Heading3"/>
        <w:keepNext/>
      </w:pPr>
      <w:r>
        <w:rPr>
          <w:rFonts w:ascii="Aptos" w:hAnsi="Aptos"/>
          <w:b/>
          <w:color w:val="0B3B60"/>
          <w:sz w:val="21"/>
        </w:rPr>
        <w:t>3.1.1 Core-equipment cost calculation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232"/>
            <w:shd w:fill="0B3B60"/>
            <w:vAlign w:val="center"/>
            <w:tcMar>
              <w:top w:w="90" w:type="dxa"/>
              <w:start w:w="90" w:type="dxa"/>
              <w:bottom w:w="90" w:type="dxa"/>
              <w:end w:w="90" w:type="dxa"/>
            </w:tcMar>
          </w:tcPr>
          <w:p>
            <w:pPr>
              <w:jc w:val="center"/>
            </w:pPr>
            <w:r>
              <w:rPr>
                <w:rFonts w:ascii="Aptos" w:hAnsi="Aptos"/>
                <w:b/>
                <w:color w:val="FFFFFF"/>
                <w:sz w:val="17"/>
              </w:rPr>
              <w:t>Core item</w:t>
            </w:r>
          </w:p>
        </w:tc>
        <w:tc>
          <w:tcPr>
            <w:tcW w:type="dxa" w:w="3312"/>
            <w:shd w:fill="0B3B60"/>
            <w:vAlign w:val="center"/>
            <w:tcMar>
              <w:top w:w="90" w:type="dxa"/>
              <w:start w:w="90" w:type="dxa"/>
              <w:bottom w:w="90" w:type="dxa"/>
              <w:end w:w="90" w:type="dxa"/>
            </w:tcMar>
          </w:tcPr>
          <w:p>
            <w:pPr>
              <w:jc w:val="center"/>
            </w:pPr>
            <w:r>
              <w:rPr>
                <w:rFonts w:ascii="Aptos" w:hAnsi="Aptos"/>
                <w:b/>
                <w:color w:val="FFFFFF"/>
                <w:sz w:val="17"/>
              </w:rPr>
              <w:t>Formula</w:t>
            </w:r>
          </w:p>
        </w:tc>
        <w:tc>
          <w:tcPr>
            <w:tcW w:type="dxa" w:w="1800"/>
            <w:shd w:fill="0B3B60"/>
            <w:vAlign w:val="center"/>
            <w:tcMar>
              <w:top w:w="90" w:type="dxa"/>
              <w:start w:w="90" w:type="dxa"/>
              <w:bottom w:w="90" w:type="dxa"/>
              <w:end w:w="90" w:type="dxa"/>
            </w:tcMar>
          </w:tcPr>
          <w:p>
            <w:pPr>
              <w:jc w:val="center"/>
            </w:pPr>
            <w:r>
              <w:rPr>
                <w:rFonts w:ascii="Aptos" w:hAnsi="Aptos"/>
                <w:b/>
                <w:color w:val="FFFFFF"/>
                <w:sz w:val="17"/>
              </w:rPr>
              <w:t>Lower case</w:t>
            </w:r>
          </w:p>
        </w:tc>
        <w:tc>
          <w:tcPr>
            <w:tcW w:type="dxa" w:w="1800"/>
            <w:shd w:fill="0B3B60"/>
            <w:vAlign w:val="center"/>
            <w:tcMar>
              <w:top w:w="90" w:type="dxa"/>
              <w:start w:w="90" w:type="dxa"/>
              <w:bottom w:w="90" w:type="dxa"/>
              <w:end w:w="90" w:type="dxa"/>
            </w:tcMar>
          </w:tcPr>
          <w:p>
            <w:pPr>
              <w:jc w:val="center"/>
            </w:pPr>
            <w:r>
              <w:rPr>
                <w:rFonts w:ascii="Aptos" w:hAnsi="Aptos"/>
                <w:b/>
                <w:color w:val="FFFFFF"/>
                <w:sz w:val="17"/>
              </w:rPr>
              <w:t>Upper case</w:t>
            </w:r>
          </w:p>
        </w:tc>
      </w:tr>
      <w:tr>
        <w:trPr>
          <w:cantSplit/>
        </w:trPr>
        <w:tc>
          <w:tcPr>
            <w:tcW w:type="dxa" w:w="2232"/>
            <w:shd w:fill="FFFFFF"/>
            <w:tcMar>
              <w:top w:w="75" w:type="dxa"/>
              <w:start w:w="85" w:type="dxa"/>
              <w:bottom w:w="75" w:type="dxa"/>
              <w:end w:w="85" w:type="dxa"/>
            </w:tcMar>
            <w:vAlign w:val="center"/>
          </w:tcPr>
          <w:p>
            <w:pPr>
              <w:jc w:val="left"/>
            </w:pPr>
            <w:r>
              <w:rPr>
                <w:rFonts w:ascii="Aptos" w:hAnsi="Aptos"/>
                <w:b/>
                <w:color w:val="1F2933"/>
                <w:sz w:val="17"/>
              </w:rPr>
              <w:t>Solar panels</w:t>
            </w:r>
          </w:p>
        </w:tc>
        <w:tc>
          <w:tcPr>
            <w:tcW w:type="dxa" w:w="3312"/>
            <w:shd w:fill="FFFFFF"/>
            <w:tcMar>
              <w:top w:w="75" w:type="dxa"/>
              <w:start w:w="85" w:type="dxa"/>
              <w:bottom w:w="75" w:type="dxa"/>
              <w:end w:w="85" w:type="dxa"/>
            </w:tcMar>
            <w:vAlign w:val="center"/>
          </w:tcPr>
          <w:p>
            <w:pPr>
              <w:jc w:val="center"/>
            </w:pPr>
            <w:r>
              <w:rPr>
                <w:rFonts w:ascii="Aptos" w:hAnsi="Aptos"/>
                <w:b w:val="0"/>
                <w:color w:val="1F2933"/>
                <w:sz w:val="17"/>
              </w:rPr>
              <w:t>1,740 × unit price</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₦261.0m</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₦292.7m</w:t>
            </w:r>
          </w:p>
        </w:tc>
      </w:tr>
      <w:tr>
        <w:trPr>
          <w:cantSplit/>
        </w:trPr>
        <w:tc>
          <w:tcPr>
            <w:tcW w:type="dxa" w:w="2232"/>
            <w:shd w:fill="F2F4F5"/>
            <w:tcMar>
              <w:top w:w="75" w:type="dxa"/>
              <w:start w:w="85" w:type="dxa"/>
              <w:bottom w:w="75" w:type="dxa"/>
              <w:end w:w="85" w:type="dxa"/>
            </w:tcMar>
            <w:vAlign w:val="center"/>
          </w:tcPr>
          <w:p>
            <w:pPr>
              <w:jc w:val="left"/>
            </w:pPr>
            <w:r>
              <w:rPr>
                <w:rFonts w:ascii="Aptos" w:hAnsi="Aptos"/>
                <w:b/>
                <w:color w:val="1F2933"/>
                <w:sz w:val="17"/>
              </w:rPr>
              <w:t>Hybrid inverters</w:t>
            </w:r>
          </w:p>
        </w:tc>
        <w:tc>
          <w:tcPr>
            <w:tcW w:type="dxa" w:w="3312"/>
            <w:shd w:fill="F2F4F5"/>
            <w:tcMar>
              <w:top w:w="75" w:type="dxa"/>
              <w:start w:w="85" w:type="dxa"/>
              <w:bottom w:w="75" w:type="dxa"/>
              <w:end w:w="85" w:type="dxa"/>
            </w:tcMar>
            <w:vAlign w:val="center"/>
          </w:tcPr>
          <w:p>
            <w:pPr>
              <w:jc w:val="center"/>
            </w:pPr>
            <w:r>
              <w:rPr>
                <w:rFonts w:ascii="Aptos" w:hAnsi="Aptos"/>
                <w:b w:val="0"/>
                <w:color w:val="1F2933"/>
                <w:sz w:val="17"/>
              </w:rPr>
              <w:t>16 × unit price</w:t>
            </w:r>
          </w:p>
        </w:tc>
        <w:tc>
          <w:tcPr>
            <w:tcW w:type="dxa" w:w="1800"/>
            <w:shd w:fill="F2F4F5"/>
            <w:tcMar>
              <w:top w:w="75" w:type="dxa"/>
              <w:start w:w="85" w:type="dxa"/>
              <w:bottom w:w="75" w:type="dxa"/>
              <w:end w:w="85" w:type="dxa"/>
            </w:tcMar>
            <w:vAlign w:val="center"/>
          </w:tcPr>
          <w:p>
            <w:pPr>
              <w:jc w:val="center"/>
            </w:pPr>
            <w:r>
              <w:rPr>
                <w:rFonts w:ascii="Aptos" w:hAnsi="Aptos"/>
                <w:b w:val="0"/>
                <w:color w:val="1F2933"/>
                <w:sz w:val="17"/>
              </w:rPr>
              <w:t>₦88.0m</w:t>
            </w:r>
          </w:p>
        </w:tc>
        <w:tc>
          <w:tcPr>
            <w:tcW w:type="dxa" w:w="1800"/>
            <w:shd w:fill="F2F4F5"/>
            <w:tcMar>
              <w:top w:w="75" w:type="dxa"/>
              <w:start w:w="85" w:type="dxa"/>
              <w:bottom w:w="75" w:type="dxa"/>
              <w:end w:w="85" w:type="dxa"/>
            </w:tcMar>
            <w:vAlign w:val="center"/>
          </w:tcPr>
          <w:p>
            <w:pPr>
              <w:jc w:val="center"/>
            </w:pPr>
            <w:r>
              <w:rPr>
                <w:rFonts w:ascii="Aptos" w:hAnsi="Aptos"/>
                <w:b w:val="0"/>
                <w:color w:val="1F2933"/>
                <w:sz w:val="17"/>
              </w:rPr>
              <w:t>₦117.8m</w:t>
            </w:r>
          </w:p>
        </w:tc>
      </w:tr>
      <w:tr>
        <w:trPr>
          <w:cantSplit/>
        </w:trPr>
        <w:tc>
          <w:tcPr>
            <w:tcW w:type="dxa" w:w="2232"/>
            <w:shd w:fill="FFFFFF"/>
            <w:tcMar>
              <w:top w:w="75" w:type="dxa"/>
              <w:start w:w="85" w:type="dxa"/>
              <w:bottom w:w="75" w:type="dxa"/>
              <w:end w:w="85" w:type="dxa"/>
            </w:tcMar>
            <w:vAlign w:val="center"/>
          </w:tcPr>
          <w:p>
            <w:pPr>
              <w:jc w:val="left"/>
            </w:pPr>
            <w:r>
              <w:rPr>
                <w:rFonts w:ascii="Aptos" w:hAnsi="Aptos"/>
                <w:b/>
                <w:color w:val="1F2933"/>
                <w:sz w:val="17"/>
              </w:rPr>
              <w:t>Battery modules</w:t>
            </w:r>
          </w:p>
        </w:tc>
        <w:tc>
          <w:tcPr>
            <w:tcW w:type="dxa" w:w="3312"/>
            <w:shd w:fill="FFFFFF"/>
            <w:tcMar>
              <w:top w:w="75" w:type="dxa"/>
              <w:start w:w="85" w:type="dxa"/>
              <w:bottom w:w="75" w:type="dxa"/>
              <w:end w:w="85" w:type="dxa"/>
            </w:tcMar>
            <w:vAlign w:val="center"/>
          </w:tcPr>
          <w:p>
            <w:pPr>
              <w:jc w:val="center"/>
            </w:pPr>
            <w:r>
              <w:rPr>
                <w:rFonts w:ascii="Aptos" w:hAnsi="Aptos"/>
                <w:b w:val="0"/>
                <w:color w:val="1F2933"/>
                <w:sz w:val="17"/>
              </w:rPr>
              <w:t>196 × unit price</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₦247.9m</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₦323.4m</w:t>
            </w:r>
          </w:p>
        </w:tc>
      </w:tr>
      <w:tr>
        <w:trPr>
          <w:cantSplit/>
        </w:trPr>
        <w:tc>
          <w:tcPr>
            <w:tcW w:type="dxa" w:w="2232"/>
            <w:shd w:fill="F2F4F5"/>
            <w:tcMar>
              <w:top w:w="75" w:type="dxa"/>
              <w:start w:w="85" w:type="dxa"/>
              <w:bottom w:w="75" w:type="dxa"/>
              <w:end w:w="85" w:type="dxa"/>
            </w:tcMar>
            <w:vAlign w:val="center"/>
          </w:tcPr>
          <w:p>
            <w:pPr>
              <w:jc w:val="left"/>
            </w:pPr>
            <w:r>
              <w:rPr>
                <w:rFonts w:ascii="Aptos" w:hAnsi="Aptos"/>
                <w:b/>
                <w:color w:val="1F2933"/>
                <w:sz w:val="17"/>
              </w:rPr>
              <w:t>Core-equipment subtotal</w:t>
            </w:r>
          </w:p>
        </w:tc>
        <w:tc>
          <w:tcPr>
            <w:tcW w:type="dxa" w:w="3312"/>
            <w:shd w:fill="F2F4F5"/>
            <w:tcMar>
              <w:top w:w="75" w:type="dxa"/>
              <w:start w:w="85" w:type="dxa"/>
              <w:bottom w:w="75" w:type="dxa"/>
              <w:end w:w="85" w:type="dxa"/>
            </w:tcMar>
            <w:vAlign w:val="center"/>
          </w:tcPr>
          <w:p>
            <w:pPr>
              <w:jc w:val="center"/>
            </w:pPr>
            <w:r>
              <w:rPr>
                <w:rFonts w:ascii="Aptos" w:hAnsi="Aptos"/>
                <w:b w:val="0"/>
                <w:color w:val="1F2933"/>
                <w:sz w:val="17"/>
              </w:rPr>
              <w:t>Sum of the three items</w:t>
            </w:r>
          </w:p>
        </w:tc>
        <w:tc>
          <w:tcPr>
            <w:tcW w:type="dxa" w:w="1800"/>
            <w:shd w:fill="F2F4F5"/>
            <w:tcMar>
              <w:top w:w="75" w:type="dxa"/>
              <w:start w:w="85" w:type="dxa"/>
              <w:bottom w:w="75" w:type="dxa"/>
              <w:end w:w="85" w:type="dxa"/>
            </w:tcMar>
            <w:vAlign w:val="center"/>
          </w:tcPr>
          <w:p>
            <w:pPr>
              <w:jc w:val="center"/>
            </w:pPr>
            <w:r>
              <w:rPr>
                <w:rFonts w:ascii="Aptos" w:hAnsi="Aptos"/>
                <w:b w:val="0"/>
                <w:color w:val="1F2933"/>
                <w:sz w:val="17"/>
              </w:rPr>
              <w:t>₦596.9m</w:t>
            </w:r>
          </w:p>
        </w:tc>
        <w:tc>
          <w:tcPr>
            <w:tcW w:type="dxa" w:w="1800"/>
            <w:shd w:fill="F2F4F5"/>
            <w:tcMar>
              <w:top w:w="75" w:type="dxa"/>
              <w:start w:w="85" w:type="dxa"/>
              <w:bottom w:w="75" w:type="dxa"/>
              <w:end w:w="85" w:type="dxa"/>
            </w:tcMar>
            <w:vAlign w:val="center"/>
          </w:tcPr>
          <w:p>
            <w:pPr>
              <w:jc w:val="center"/>
            </w:pPr>
            <w:r>
              <w:rPr>
                <w:rFonts w:ascii="Aptos" w:hAnsi="Aptos"/>
                <w:b w:val="0"/>
                <w:color w:val="1F2933"/>
                <w:sz w:val="17"/>
              </w:rPr>
              <w:t>₦733.8m</w:t>
            </w:r>
          </w:p>
        </w:tc>
      </w:tr>
    </w:tbl>
    <w:p>
      <w:pPr>
        <w:pStyle w:val="Heading2"/>
        <w:keepNext/>
      </w:pPr>
      <w:r>
        <w:rPr>
          <w:rFonts w:ascii="Aptos" w:hAnsi="Aptos"/>
          <w:b/>
          <w:color w:val="0F7896"/>
          <w:sz w:val="24"/>
        </w:rPr>
        <w:t>3.2 Balance-of-system and EPC allowances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6048"/>
            <w:shd w:fill="0B3B60"/>
            <w:vAlign w:val="center"/>
            <w:tcMar>
              <w:top w:w="90" w:type="dxa"/>
              <w:start w:w="90" w:type="dxa"/>
              <w:bottom w:w="90" w:type="dxa"/>
              <w:end w:w="90" w:type="dxa"/>
            </w:tcMar>
          </w:tcPr>
          <w:p>
            <w:pPr>
              <w:jc w:val="center"/>
            </w:pPr>
            <w:r>
              <w:rPr>
                <w:rFonts w:ascii="Aptos" w:hAnsi="Aptos"/>
                <w:b/>
                <w:color w:val="FFFFFF"/>
                <w:sz w:val="16"/>
              </w:rPr>
              <w:t>Cost category</w:t>
            </w:r>
          </w:p>
        </w:tc>
        <w:tc>
          <w:tcPr>
            <w:tcW w:type="dxa" w:w="1656"/>
            <w:shd w:fill="0B3B60"/>
            <w:vAlign w:val="center"/>
            <w:tcMar>
              <w:top w:w="90" w:type="dxa"/>
              <w:start w:w="90" w:type="dxa"/>
              <w:bottom w:w="90" w:type="dxa"/>
              <w:end w:w="90" w:type="dxa"/>
            </w:tcMar>
          </w:tcPr>
          <w:p>
            <w:pPr>
              <w:jc w:val="center"/>
            </w:pPr>
            <w:r>
              <w:rPr>
                <w:rFonts w:ascii="Aptos" w:hAnsi="Aptos"/>
                <w:b/>
                <w:color w:val="FFFFFF"/>
                <w:sz w:val="16"/>
              </w:rPr>
              <w:t>Lower case</w:t>
            </w:r>
          </w:p>
        </w:tc>
        <w:tc>
          <w:tcPr>
            <w:tcW w:type="dxa" w:w="1656"/>
            <w:shd w:fill="0B3B60"/>
            <w:vAlign w:val="center"/>
            <w:tcMar>
              <w:top w:w="90" w:type="dxa"/>
              <w:start w:w="90" w:type="dxa"/>
              <w:bottom w:w="90" w:type="dxa"/>
              <w:end w:w="90" w:type="dxa"/>
            </w:tcMar>
          </w:tcPr>
          <w:p>
            <w:pPr>
              <w:jc w:val="center"/>
            </w:pPr>
            <w:r>
              <w:rPr>
                <w:rFonts w:ascii="Aptos" w:hAnsi="Aptos"/>
                <w:b/>
                <w:color w:val="FFFFFF"/>
                <w:sz w:val="16"/>
              </w:rPr>
              <w:t>Upper case</w:t>
            </w:r>
          </w:p>
        </w:tc>
      </w:tr>
      <w:tr>
        <w:trPr>
          <w:cantSplit/>
        </w:trPr>
        <w:tc>
          <w:tcPr>
            <w:tcW w:type="dxa" w:w="6048"/>
            <w:shd w:fill="FFFFFF"/>
            <w:tcMar>
              <w:top w:w="75" w:type="dxa"/>
              <w:start w:w="85" w:type="dxa"/>
              <w:bottom w:w="75" w:type="dxa"/>
              <w:end w:w="85" w:type="dxa"/>
            </w:tcMar>
            <w:vAlign w:val="center"/>
          </w:tcPr>
          <w:p>
            <w:pPr>
              <w:jc w:val="left"/>
            </w:pPr>
            <w:r>
              <w:rPr>
                <w:rFonts w:ascii="Aptos" w:hAnsi="Aptos"/>
                <w:b/>
                <w:color w:val="1F2933"/>
                <w:sz w:val="16"/>
              </w:rPr>
              <w:t>Battery cabinets, BMS, cooling and fire protection</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₦35.0m</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₦80.0m</w:t>
            </w:r>
          </w:p>
        </w:tc>
      </w:tr>
      <w:tr>
        <w:trPr>
          <w:cantSplit/>
        </w:trPr>
        <w:tc>
          <w:tcPr>
            <w:tcW w:type="dxa" w:w="6048"/>
            <w:shd w:fill="F2F4F5"/>
            <w:tcMar>
              <w:top w:w="75" w:type="dxa"/>
              <w:start w:w="85" w:type="dxa"/>
              <w:bottom w:w="75" w:type="dxa"/>
              <w:end w:w="85" w:type="dxa"/>
            </w:tcMar>
            <w:vAlign w:val="center"/>
          </w:tcPr>
          <w:p>
            <w:pPr>
              <w:jc w:val="left"/>
            </w:pPr>
            <w:r>
              <w:rPr>
                <w:rFonts w:ascii="Aptos" w:hAnsi="Aptos"/>
                <w:b/>
                <w:color w:val="1F2933"/>
                <w:sz w:val="16"/>
              </w:rPr>
              <w:t>Mounting structures and foundations</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₦60.0m</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₦120.0m</w:t>
            </w:r>
          </w:p>
        </w:tc>
      </w:tr>
      <w:tr>
        <w:trPr>
          <w:cantSplit/>
        </w:trPr>
        <w:tc>
          <w:tcPr>
            <w:tcW w:type="dxa" w:w="6048"/>
            <w:shd w:fill="FFFFFF"/>
            <w:tcMar>
              <w:top w:w="75" w:type="dxa"/>
              <w:start w:w="85" w:type="dxa"/>
              <w:bottom w:w="75" w:type="dxa"/>
              <w:end w:w="85" w:type="dxa"/>
            </w:tcMar>
            <w:vAlign w:val="center"/>
          </w:tcPr>
          <w:p>
            <w:pPr>
              <w:jc w:val="left"/>
            </w:pPr>
            <w:r>
              <w:rPr>
                <w:rFonts w:ascii="Aptos" w:hAnsi="Aptos"/>
                <w:b/>
                <w:color w:val="1F2933"/>
                <w:sz w:val="16"/>
              </w:rPr>
              <w:t>DC/AC cables, combiner boxes, breakers, SPDs and earthing</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₦60.0m</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₦110.0m</w:t>
            </w:r>
          </w:p>
        </w:tc>
      </w:tr>
      <w:tr>
        <w:trPr>
          <w:cantSplit/>
        </w:trPr>
        <w:tc>
          <w:tcPr>
            <w:tcW w:type="dxa" w:w="6048"/>
            <w:shd w:fill="F2F4F5"/>
            <w:tcMar>
              <w:top w:w="75" w:type="dxa"/>
              <w:start w:w="85" w:type="dxa"/>
              <w:bottom w:w="75" w:type="dxa"/>
              <w:end w:w="85" w:type="dxa"/>
            </w:tcMar>
            <w:vAlign w:val="center"/>
          </w:tcPr>
          <w:p>
            <w:pPr>
              <w:jc w:val="left"/>
            </w:pPr>
            <w:r>
              <w:rPr>
                <w:rFonts w:ascii="Aptos" w:hAnsi="Aptos"/>
                <w:b/>
                <w:color w:val="1F2933"/>
                <w:sz w:val="16"/>
              </w:rPr>
              <w:t>Transformer, LV/MV switchgear and metering</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₦70.0m</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₦150.0m</w:t>
            </w:r>
          </w:p>
        </w:tc>
      </w:tr>
      <w:tr>
        <w:trPr>
          <w:cantSplit/>
        </w:trPr>
        <w:tc>
          <w:tcPr>
            <w:tcW w:type="dxa" w:w="6048"/>
            <w:shd w:fill="FFFFFF"/>
            <w:tcMar>
              <w:top w:w="75" w:type="dxa"/>
              <w:start w:w="85" w:type="dxa"/>
              <w:bottom w:w="75" w:type="dxa"/>
              <w:end w:w="85" w:type="dxa"/>
            </w:tcMar>
            <w:vAlign w:val="center"/>
          </w:tcPr>
          <w:p>
            <w:pPr>
              <w:jc w:val="left"/>
            </w:pPr>
            <w:r>
              <w:rPr>
                <w:rFonts w:ascii="Aptos" w:hAnsi="Aptos"/>
                <w:b/>
                <w:color w:val="1F2933"/>
                <w:sz w:val="16"/>
              </w:rPr>
              <w:t>Civil works, drainage, fencing and security</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₦40.0m</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₦100.0m</w:t>
            </w:r>
          </w:p>
        </w:tc>
      </w:tr>
      <w:tr>
        <w:trPr>
          <w:cantSplit/>
        </w:trPr>
        <w:tc>
          <w:tcPr>
            <w:tcW w:type="dxa" w:w="6048"/>
            <w:shd w:fill="F2F4F5"/>
            <w:tcMar>
              <w:top w:w="75" w:type="dxa"/>
              <w:start w:w="85" w:type="dxa"/>
              <w:bottom w:w="75" w:type="dxa"/>
              <w:end w:w="85" w:type="dxa"/>
            </w:tcMar>
            <w:vAlign w:val="center"/>
          </w:tcPr>
          <w:p>
            <w:pPr>
              <w:jc w:val="left"/>
            </w:pPr>
            <w:r>
              <w:rPr>
                <w:rFonts w:ascii="Aptos" w:hAnsi="Aptos"/>
                <w:b/>
                <w:color w:val="1F2933"/>
                <w:sz w:val="16"/>
              </w:rPr>
              <w:t>Engineering, load study, design and project management</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₦25.0m</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₦50.0m</w:t>
            </w:r>
          </w:p>
        </w:tc>
      </w:tr>
      <w:tr>
        <w:trPr>
          <w:cantSplit/>
        </w:trPr>
        <w:tc>
          <w:tcPr>
            <w:tcW w:type="dxa" w:w="6048"/>
            <w:shd w:fill="FFFFFF"/>
            <w:tcMar>
              <w:top w:w="75" w:type="dxa"/>
              <w:start w:w="85" w:type="dxa"/>
              <w:bottom w:w="75" w:type="dxa"/>
              <w:end w:w="85" w:type="dxa"/>
            </w:tcMar>
            <w:vAlign w:val="center"/>
          </w:tcPr>
          <w:p>
            <w:pPr>
              <w:jc w:val="left"/>
            </w:pPr>
            <w:r>
              <w:rPr>
                <w:rFonts w:ascii="Aptos" w:hAnsi="Aptos"/>
                <w:b/>
                <w:color w:val="1F2933"/>
                <w:sz w:val="16"/>
              </w:rPr>
              <w:t>Installation, testing and commissioning</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₦25.0m</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₦50.0m</w:t>
            </w:r>
          </w:p>
        </w:tc>
      </w:tr>
      <w:tr>
        <w:trPr>
          <w:cantSplit/>
        </w:trPr>
        <w:tc>
          <w:tcPr>
            <w:tcW w:type="dxa" w:w="6048"/>
            <w:shd w:fill="F2F4F5"/>
            <w:tcMar>
              <w:top w:w="75" w:type="dxa"/>
              <w:start w:w="85" w:type="dxa"/>
              <w:bottom w:w="75" w:type="dxa"/>
              <w:end w:w="85" w:type="dxa"/>
            </w:tcMar>
            <w:vAlign w:val="center"/>
          </w:tcPr>
          <w:p>
            <w:pPr>
              <w:jc w:val="left"/>
            </w:pPr>
            <w:r>
              <w:rPr>
                <w:rFonts w:ascii="Aptos" w:hAnsi="Aptos"/>
                <w:b/>
                <w:color w:val="1F2933"/>
                <w:sz w:val="16"/>
              </w:rPr>
              <w:t>Logistics, insurance, initial spares and mobilisation</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₦30.0m</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₦70.0m</w:t>
            </w:r>
          </w:p>
        </w:tc>
      </w:tr>
      <w:tr>
        <w:trPr>
          <w:cantSplit/>
        </w:trPr>
        <w:tc>
          <w:tcPr>
            <w:tcW w:type="dxa" w:w="6048"/>
            <w:shd w:fill="FFFFFF"/>
            <w:tcMar>
              <w:top w:w="75" w:type="dxa"/>
              <w:start w:w="85" w:type="dxa"/>
              <w:bottom w:w="75" w:type="dxa"/>
              <w:end w:w="85" w:type="dxa"/>
            </w:tcMar>
            <w:vAlign w:val="center"/>
          </w:tcPr>
          <w:p>
            <w:pPr>
              <w:jc w:val="left"/>
            </w:pPr>
            <w:r>
              <w:rPr>
                <w:rFonts w:ascii="Aptos" w:hAnsi="Aptos"/>
                <w:b/>
                <w:color w:val="1F2933"/>
                <w:sz w:val="16"/>
              </w:rPr>
              <w:t>Total before contingency</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₦941.9m</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₦1.46bn</w:t>
            </w:r>
          </w:p>
        </w:tc>
      </w:tr>
      <w:tr>
        <w:trPr>
          <w:cantSplit/>
        </w:trPr>
        <w:tc>
          <w:tcPr>
            <w:tcW w:type="dxa" w:w="6048"/>
            <w:shd w:fill="F2F4F5"/>
            <w:tcMar>
              <w:top w:w="75" w:type="dxa"/>
              <w:start w:w="85" w:type="dxa"/>
              <w:bottom w:w="75" w:type="dxa"/>
              <w:end w:w="85" w:type="dxa"/>
            </w:tcMar>
            <w:vAlign w:val="center"/>
          </w:tcPr>
          <w:p>
            <w:pPr>
              <w:jc w:val="left"/>
            </w:pPr>
            <w:r>
              <w:rPr>
                <w:rFonts w:ascii="Aptos" w:hAnsi="Aptos"/>
                <w:b/>
                <w:color w:val="1F2933"/>
                <w:sz w:val="16"/>
              </w:rPr>
              <w:t>Contingency/overhead applied</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10%</w:t>
            </w:r>
          </w:p>
        </w:tc>
        <w:tc>
          <w:tcPr>
            <w:tcW w:type="dxa" w:w="1656"/>
            <w:shd w:fill="F2F4F5"/>
            <w:tcMar>
              <w:top w:w="75" w:type="dxa"/>
              <w:start w:w="85" w:type="dxa"/>
              <w:bottom w:w="75" w:type="dxa"/>
              <w:end w:w="85" w:type="dxa"/>
            </w:tcMar>
            <w:vAlign w:val="center"/>
          </w:tcPr>
          <w:p>
            <w:pPr>
              <w:jc w:val="center"/>
            </w:pPr>
            <w:r>
              <w:rPr>
                <w:rFonts w:ascii="Aptos" w:hAnsi="Aptos"/>
                <w:b w:val="0"/>
                <w:color w:val="1F2933"/>
                <w:sz w:val="16"/>
              </w:rPr>
              <w:t>15%</w:t>
            </w:r>
          </w:p>
        </w:tc>
      </w:tr>
      <w:tr>
        <w:trPr>
          <w:cantSplit/>
        </w:trPr>
        <w:tc>
          <w:tcPr>
            <w:tcW w:type="dxa" w:w="6048"/>
            <w:shd w:fill="FFFFFF"/>
            <w:tcMar>
              <w:top w:w="75" w:type="dxa"/>
              <w:start w:w="85" w:type="dxa"/>
              <w:bottom w:w="75" w:type="dxa"/>
              <w:end w:w="85" w:type="dxa"/>
            </w:tcMar>
            <w:vAlign w:val="center"/>
          </w:tcPr>
          <w:p>
            <w:pPr>
              <w:jc w:val="left"/>
            </w:pPr>
            <w:r>
              <w:rPr>
                <w:rFonts w:ascii="Aptos" w:hAnsi="Aptos"/>
                <w:b/>
                <w:color w:val="1F2933"/>
                <w:sz w:val="16"/>
              </w:rPr>
              <w:t>Calculated turnkey result</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₦1.04bn</w:t>
            </w:r>
          </w:p>
        </w:tc>
        <w:tc>
          <w:tcPr>
            <w:tcW w:type="dxa" w:w="1656"/>
            <w:shd w:fill="FFFFFF"/>
            <w:tcMar>
              <w:top w:w="75" w:type="dxa"/>
              <w:start w:w="85" w:type="dxa"/>
              <w:bottom w:w="75" w:type="dxa"/>
              <w:end w:w="85" w:type="dxa"/>
            </w:tcMar>
            <w:vAlign w:val="center"/>
          </w:tcPr>
          <w:p>
            <w:pPr>
              <w:jc w:val="center"/>
            </w:pPr>
            <w:r>
              <w:rPr>
                <w:rFonts w:ascii="Aptos" w:hAnsi="Aptos"/>
                <w:b w:val="0"/>
                <w:color w:val="1F2933"/>
                <w:sz w:val="16"/>
              </w:rPr>
              <w:t>₦1.68bn</w:t>
            </w:r>
          </w:p>
        </w:tc>
      </w:tr>
    </w:tbl>
    <w:p>
      <w:pPr>
        <w:pStyle w:val="Heading2"/>
        <w:keepNext/>
      </w:pPr>
      <w:r>
        <w:rPr>
          <w:rFonts w:ascii="Aptos" w:hAnsi="Aptos"/>
          <w:b/>
          <w:color w:val="0F7896"/>
          <w:sz w:val="24"/>
        </w:rPr>
        <w:t>3.3 Rounding to the reported 1MW range</w:t>
      </w:r>
    </w:p>
    <w:p>
      <w:pPr>
        <w:spacing w:after="100" w:line="276" w:lineRule="auto"/>
      </w:pPr>
      <w:r>
        <w:rPr>
          <w:rFonts w:ascii="Aptos" w:hAnsi="Aptos"/>
          <w:color w:val="1F2933"/>
          <w:sz w:val="19"/>
        </w:rPr>
        <w:t>The direct arithmetic produces approximately ₦1.04bn to ₦1.68bn. This was rounded to ₦1.05bn–₦1.70bn because the input prices are themselves approximate and a false level of precision would be misleading.</w:t>
      </w:r>
    </w:p>
    <w:p>
      <w:pPr>
        <w:spacing w:after="100" w:line="276" w:lineRule="auto"/>
      </w:pPr>
      <w:r>
        <w:rPr>
          <w:rFonts w:ascii="Aptos" w:hAnsi="Aptos"/>
          <w:color w:val="1F2933"/>
          <w:sz w:val="19"/>
        </w:rPr>
        <w:t>The ₦1.30bn base planning figure is a management working figure selected within the range for a standard site and competitive project procurement. The exact arithmetic midpoint is approximately ₦1.38bn; using ₦1.70bn as the conservative ceiling protects the budget against difficult civil works, exchange-rate movement and additional electrical infrastructure.</w:t>
      </w:r>
    </w:p>
    <w:p>
      <w:pPr>
        <w:pStyle w:val="Heading1"/>
        <w:keepNext/>
      </w:pPr>
      <w:r>
        <w:rPr>
          <w:rFonts w:ascii="Aptos" w:hAnsi="Aptos"/>
          <w:b/>
          <w:color w:val="0B3B60"/>
          <w:sz w:val="32"/>
        </w:rPr>
        <w:t>4. Scaling the Estimate to 5MW and 10MW</w:t>
      </w:r>
    </w:p>
    <w:p>
      <w:pPr>
        <w:spacing w:after="100" w:line="276" w:lineRule="auto"/>
      </w:pPr>
      <w:r>
        <w:rPr>
          <w:rFonts w:ascii="Aptos" w:hAnsi="Aptos"/>
          <w:color w:val="1F2933"/>
          <w:sz w:val="19"/>
        </w:rPr>
        <w:t>Large solar projects do not normally cost exactly five or ten times a 1MW project. Engineering, mobilisation, monitoring platforms, project management and some civil costs are shared across a larger capacity. Bulk orders also improve panel, battery, inverter, logistics and installation pricing. These effects were represented by an economies-of-scale discount.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88"/>
            <w:shd w:fill="0B3B60"/>
            <w:vAlign w:val="center"/>
            <w:tcMar>
              <w:top w:w="90" w:type="dxa"/>
              <w:start w:w="90" w:type="dxa"/>
              <w:bottom w:w="90" w:type="dxa"/>
              <w:end w:w="90" w:type="dxa"/>
            </w:tcMar>
          </w:tcPr>
          <w:p>
            <w:pPr>
              <w:jc w:val="center"/>
            </w:pPr>
            <w:r>
              <w:rPr>
                <w:rFonts w:ascii="Aptos" w:hAnsi="Aptos"/>
                <w:b/>
                <w:color w:val="FFFFFF"/>
                <w:sz w:val="17"/>
              </w:rPr>
              <w:t>Calculation</w:t>
            </w:r>
          </w:p>
        </w:tc>
        <w:tc>
          <w:tcPr>
            <w:tcW w:type="dxa" w:w="3528"/>
            <w:shd w:fill="0B3B60"/>
            <w:vAlign w:val="center"/>
            <w:tcMar>
              <w:top w:w="90" w:type="dxa"/>
              <w:start w:w="90" w:type="dxa"/>
              <w:bottom w:w="90" w:type="dxa"/>
              <w:end w:w="90" w:type="dxa"/>
            </w:tcMar>
          </w:tcPr>
          <w:p>
            <w:pPr>
              <w:jc w:val="center"/>
            </w:pPr>
            <w:r>
              <w:rPr>
                <w:rFonts w:ascii="Aptos" w:hAnsi="Aptos"/>
                <w:b/>
                <w:color w:val="FFFFFF"/>
                <w:sz w:val="17"/>
              </w:rPr>
              <w:t>Formula</w:t>
            </w:r>
          </w:p>
        </w:tc>
        <w:tc>
          <w:tcPr>
            <w:tcW w:type="dxa" w:w="1728"/>
            <w:shd w:fill="0B3B60"/>
            <w:vAlign w:val="center"/>
            <w:tcMar>
              <w:top w:w="90" w:type="dxa"/>
              <w:start w:w="90" w:type="dxa"/>
              <w:bottom w:w="90" w:type="dxa"/>
              <w:end w:w="90" w:type="dxa"/>
            </w:tcMar>
          </w:tcPr>
          <w:p>
            <w:pPr>
              <w:jc w:val="center"/>
            </w:pPr>
            <w:r>
              <w:rPr>
                <w:rFonts w:ascii="Aptos" w:hAnsi="Aptos"/>
                <w:b/>
                <w:color w:val="FFFFFF"/>
                <w:sz w:val="17"/>
              </w:rPr>
              <w:t>Result</w:t>
            </w:r>
          </w:p>
        </w:tc>
        <w:tc>
          <w:tcPr>
            <w:tcW w:type="dxa" w:w="2016"/>
            <w:shd w:fill="0B3B60"/>
            <w:vAlign w:val="center"/>
            <w:tcMar>
              <w:top w:w="90" w:type="dxa"/>
              <w:start w:w="90" w:type="dxa"/>
              <w:bottom w:w="90" w:type="dxa"/>
              <w:end w:w="90" w:type="dxa"/>
            </w:tcMar>
          </w:tcPr>
          <w:p>
            <w:pPr>
              <w:jc w:val="center"/>
            </w:pPr>
            <w:r>
              <w:rPr>
                <w:rFonts w:ascii="Aptos" w:hAnsi="Aptos"/>
                <w:b/>
                <w:color w:val="FFFFFF"/>
                <w:sz w:val="17"/>
              </w:rPr>
              <w:t>Reported figure</w:t>
            </w:r>
          </w:p>
        </w:tc>
      </w:tr>
      <w:tr>
        <w:trPr>
          <w:cantSplit/>
        </w:trPr>
        <w:tc>
          <w:tcPr>
            <w:tcW w:type="dxa" w:w="2088"/>
            <w:shd w:fill="FFFFFF"/>
            <w:tcMar>
              <w:top w:w="75" w:type="dxa"/>
              <w:start w:w="85" w:type="dxa"/>
              <w:bottom w:w="75" w:type="dxa"/>
              <w:end w:w="85" w:type="dxa"/>
            </w:tcMar>
            <w:vAlign w:val="center"/>
          </w:tcPr>
          <w:p>
            <w:pPr>
              <w:jc w:val="left"/>
            </w:pPr>
            <w:r>
              <w:rPr>
                <w:rFonts w:ascii="Aptos" w:hAnsi="Aptos"/>
                <w:b/>
                <w:color w:val="1F2933"/>
                <w:sz w:val="17"/>
              </w:rPr>
              <w:t>5MW lower bound</w:t>
            </w:r>
          </w:p>
        </w:tc>
        <w:tc>
          <w:tcPr>
            <w:tcW w:type="dxa" w:w="3528"/>
            <w:shd w:fill="FFFFFF"/>
            <w:tcMar>
              <w:top w:w="75" w:type="dxa"/>
              <w:start w:w="85" w:type="dxa"/>
              <w:bottom w:w="75" w:type="dxa"/>
              <w:end w:w="85" w:type="dxa"/>
            </w:tcMar>
            <w:vAlign w:val="center"/>
          </w:tcPr>
          <w:p>
            <w:pPr>
              <w:jc w:val="center"/>
            </w:pPr>
            <w:r>
              <w:rPr>
                <w:rFonts w:ascii="Aptos" w:hAnsi="Aptos"/>
                <w:b w:val="0"/>
                <w:color w:val="1F2933"/>
                <w:sz w:val="17"/>
              </w:rPr>
              <w:t>₦1.05bn × 5 × (1 − 12%)</w:t>
            </w:r>
          </w:p>
        </w:tc>
        <w:tc>
          <w:tcPr>
            <w:tcW w:type="dxa" w:w="1728"/>
            <w:shd w:fill="FFFFFF"/>
            <w:tcMar>
              <w:top w:w="75" w:type="dxa"/>
              <w:start w:w="85" w:type="dxa"/>
              <w:bottom w:w="75" w:type="dxa"/>
              <w:end w:w="85" w:type="dxa"/>
            </w:tcMar>
            <w:vAlign w:val="center"/>
          </w:tcPr>
          <w:p>
            <w:pPr>
              <w:jc w:val="center"/>
            </w:pPr>
            <w:r>
              <w:rPr>
                <w:rFonts w:ascii="Aptos" w:hAnsi="Aptos"/>
                <w:b w:val="0"/>
                <w:color w:val="1F2933"/>
                <w:sz w:val="17"/>
              </w:rPr>
              <w:t>₦4.62bn</w:t>
            </w:r>
          </w:p>
        </w:tc>
        <w:tc>
          <w:tcPr>
            <w:tcW w:type="dxa" w:w="2016"/>
            <w:shd w:fill="FFFFFF"/>
            <w:tcMar>
              <w:top w:w="75" w:type="dxa"/>
              <w:start w:w="85" w:type="dxa"/>
              <w:bottom w:w="75" w:type="dxa"/>
              <w:end w:w="85" w:type="dxa"/>
            </w:tcMar>
            <w:vAlign w:val="center"/>
          </w:tcPr>
          <w:p>
            <w:pPr>
              <w:jc w:val="center"/>
            </w:pPr>
            <w:r>
              <w:rPr>
                <w:rFonts w:ascii="Aptos" w:hAnsi="Aptos"/>
                <w:b w:val="0"/>
                <w:color w:val="1F2933"/>
                <w:sz w:val="17"/>
              </w:rPr>
              <w:t>Rounded to ₦4.7bn</w:t>
            </w:r>
          </w:p>
        </w:tc>
      </w:tr>
      <w:tr>
        <w:trPr>
          <w:cantSplit/>
        </w:trPr>
        <w:tc>
          <w:tcPr>
            <w:tcW w:type="dxa" w:w="2088"/>
            <w:shd w:fill="F2F4F5"/>
            <w:tcMar>
              <w:top w:w="75" w:type="dxa"/>
              <w:start w:w="85" w:type="dxa"/>
              <w:bottom w:w="75" w:type="dxa"/>
              <w:end w:w="85" w:type="dxa"/>
            </w:tcMar>
            <w:vAlign w:val="center"/>
          </w:tcPr>
          <w:p>
            <w:pPr>
              <w:jc w:val="left"/>
            </w:pPr>
            <w:r>
              <w:rPr>
                <w:rFonts w:ascii="Aptos" w:hAnsi="Aptos"/>
                <w:b/>
                <w:color w:val="1F2933"/>
                <w:sz w:val="17"/>
              </w:rPr>
              <w:t>5MW upper bound</w:t>
            </w:r>
          </w:p>
        </w:tc>
        <w:tc>
          <w:tcPr>
            <w:tcW w:type="dxa" w:w="3528"/>
            <w:shd w:fill="F2F4F5"/>
            <w:tcMar>
              <w:top w:w="75" w:type="dxa"/>
              <w:start w:w="85" w:type="dxa"/>
              <w:bottom w:w="75" w:type="dxa"/>
              <w:end w:w="85" w:type="dxa"/>
            </w:tcMar>
            <w:vAlign w:val="center"/>
          </w:tcPr>
          <w:p>
            <w:pPr>
              <w:jc w:val="center"/>
            </w:pPr>
            <w:r>
              <w:rPr>
                <w:rFonts w:ascii="Aptos" w:hAnsi="Aptos"/>
                <w:b w:val="0"/>
                <w:color w:val="1F2933"/>
                <w:sz w:val="17"/>
              </w:rPr>
              <w:t>₦1.70bn × 5 × (1 − 8%)</w:t>
            </w:r>
          </w:p>
        </w:tc>
        <w:tc>
          <w:tcPr>
            <w:tcW w:type="dxa" w:w="1728"/>
            <w:shd w:fill="F2F4F5"/>
            <w:tcMar>
              <w:top w:w="75" w:type="dxa"/>
              <w:start w:w="85" w:type="dxa"/>
              <w:bottom w:w="75" w:type="dxa"/>
              <w:end w:w="85" w:type="dxa"/>
            </w:tcMar>
            <w:vAlign w:val="center"/>
          </w:tcPr>
          <w:p>
            <w:pPr>
              <w:jc w:val="center"/>
            </w:pPr>
            <w:r>
              <w:rPr>
                <w:rFonts w:ascii="Aptos" w:hAnsi="Aptos"/>
                <w:b w:val="0"/>
                <w:color w:val="1F2933"/>
                <w:sz w:val="17"/>
              </w:rPr>
              <w:t>₦7.82bn</w:t>
            </w:r>
          </w:p>
        </w:tc>
        <w:tc>
          <w:tcPr>
            <w:tcW w:type="dxa" w:w="2016"/>
            <w:shd w:fill="F2F4F5"/>
            <w:tcMar>
              <w:top w:w="75" w:type="dxa"/>
              <w:start w:w="85" w:type="dxa"/>
              <w:bottom w:w="75" w:type="dxa"/>
              <w:end w:w="85" w:type="dxa"/>
            </w:tcMar>
            <w:vAlign w:val="center"/>
          </w:tcPr>
          <w:p>
            <w:pPr>
              <w:jc w:val="center"/>
            </w:pPr>
            <w:r>
              <w:rPr>
                <w:rFonts w:ascii="Aptos" w:hAnsi="Aptos"/>
                <w:b w:val="0"/>
                <w:color w:val="1F2933"/>
                <w:sz w:val="17"/>
              </w:rPr>
              <w:t>Rounded to ₦7.8bn</w:t>
            </w:r>
          </w:p>
        </w:tc>
      </w:tr>
      <w:tr>
        <w:trPr>
          <w:cantSplit/>
        </w:trPr>
        <w:tc>
          <w:tcPr>
            <w:tcW w:type="dxa" w:w="2088"/>
            <w:shd w:fill="FFFFFF"/>
            <w:tcMar>
              <w:top w:w="75" w:type="dxa"/>
              <w:start w:w="85" w:type="dxa"/>
              <w:bottom w:w="75" w:type="dxa"/>
              <w:end w:w="85" w:type="dxa"/>
            </w:tcMar>
            <w:vAlign w:val="center"/>
          </w:tcPr>
          <w:p>
            <w:pPr>
              <w:jc w:val="left"/>
            </w:pPr>
            <w:r>
              <w:rPr>
                <w:rFonts w:ascii="Aptos" w:hAnsi="Aptos"/>
                <w:b/>
                <w:color w:val="1F2933"/>
                <w:sz w:val="17"/>
              </w:rPr>
              <w:t>10MW lower bound</w:t>
            </w:r>
          </w:p>
        </w:tc>
        <w:tc>
          <w:tcPr>
            <w:tcW w:type="dxa" w:w="3528"/>
            <w:shd w:fill="FFFFFF"/>
            <w:tcMar>
              <w:top w:w="75" w:type="dxa"/>
              <w:start w:w="85" w:type="dxa"/>
              <w:bottom w:w="75" w:type="dxa"/>
              <w:end w:w="85" w:type="dxa"/>
            </w:tcMar>
            <w:vAlign w:val="center"/>
          </w:tcPr>
          <w:p>
            <w:pPr>
              <w:jc w:val="center"/>
            </w:pPr>
            <w:r>
              <w:rPr>
                <w:rFonts w:ascii="Aptos" w:hAnsi="Aptos"/>
                <w:b w:val="0"/>
                <w:color w:val="1F2933"/>
                <w:sz w:val="17"/>
              </w:rPr>
              <w:t>₦1.05bn × 10 × (1 − 18%)</w:t>
            </w:r>
          </w:p>
        </w:tc>
        <w:tc>
          <w:tcPr>
            <w:tcW w:type="dxa" w:w="1728"/>
            <w:shd w:fill="FFFFFF"/>
            <w:tcMar>
              <w:top w:w="75" w:type="dxa"/>
              <w:start w:w="85" w:type="dxa"/>
              <w:bottom w:w="75" w:type="dxa"/>
              <w:end w:w="85" w:type="dxa"/>
            </w:tcMar>
            <w:vAlign w:val="center"/>
          </w:tcPr>
          <w:p>
            <w:pPr>
              <w:jc w:val="center"/>
            </w:pPr>
            <w:r>
              <w:rPr>
                <w:rFonts w:ascii="Aptos" w:hAnsi="Aptos"/>
                <w:b w:val="0"/>
                <w:color w:val="1F2933"/>
                <w:sz w:val="17"/>
              </w:rPr>
              <w:t>₦8.61bn</w:t>
            </w:r>
          </w:p>
        </w:tc>
        <w:tc>
          <w:tcPr>
            <w:tcW w:type="dxa" w:w="2016"/>
            <w:shd w:fill="FFFFFF"/>
            <w:tcMar>
              <w:top w:w="75" w:type="dxa"/>
              <w:start w:w="85" w:type="dxa"/>
              <w:bottom w:w="75" w:type="dxa"/>
              <w:end w:w="85" w:type="dxa"/>
            </w:tcMar>
            <w:vAlign w:val="center"/>
          </w:tcPr>
          <w:p>
            <w:pPr>
              <w:jc w:val="center"/>
            </w:pPr>
            <w:r>
              <w:rPr>
                <w:rFonts w:ascii="Aptos" w:hAnsi="Aptos"/>
                <w:b w:val="0"/>
                <w:color w:val="1F2933"/>
                <w:sz w:val="17"/>
              </w:rPr>
              <w:t>Rounded to ₦8.7bn</w:t>
            </w:r>
          </w:p>
        </w:tc>
      </w:tr>
      <w:tr>
        <w:trPr>
          <w:cantSplit/>
        </w:trPr>
        <w:tc>
          <w:tcPr>
            <w:tcW w:type="dxa" w:w="2088"/>
            <w:shd w:fill="F2F4F5"/>
            <w:tcMar>
              <w:top w:w="75" w:type="dxa"/>
              <w:start w:w="85" w:type="dxa"/>
              <w:bottom w:w="75" w:type="dxa"/>
              <w:end w:w="85" w:type="dxa"/>
            </w:tcMar>
            <w:vAlign w:val="center"/>
          </w:tcPr>
          <w:p>
            <w:pPr>
              <w:jc w:val="left"/>
            </w:pPr>
            <w:r>
              <w:rPr>
                <w:rFonts w:ascii="Aptos" w:hAnsi="Aptos"/>
                <w:b/>
                <w:color w:val="1F2933"/>
                <w:sz w:val="17"/>
              </w:rPr>
              <w:t>10MW upper bound</w:t>
            </w:r>
          </w:p>
        </w:tc>
        <w:tc>
          <w:tcPr>
            <w:tcW w:type="dxa" w:w="3528"/>
            <w:shd w:fill="F2F4F5"/>
            <w:tcMar>
              <w:top w:w="75" w:type="dxa"/>
              <w:start w:w="85" w:type="dxa"/>
              <w:bottom w:w="75" w:type="dxa"/>
              <w:end w:w="85" w:type="dxa"/>
            </w:tcMar>
            <w:vAlign w:val="center"/>
          </w:tcPr>
          <w:p>
            <w:pPr>
              <w:jc w:val="center"/>
            </w:pPr>
            <w:r>
              <w:rPr>
                <w:rFonts w:ascii="Aptos" w:hAnsi="Aptos"/>
                <w:b w:val="0"/>
                <w:color w:val="1F2933"/>
                <w:sz w:val="17"/>
              </w:rPr>
              <w:t>₦1.70bn × 10 × (1 − 12%)</w:t>
            </w:r>
          </w:p>
        </w:tc>
        <w:tc>
          <w:tcPr>
            <w:tcW w:type="dxa" w:w="1728"/>
            <w:shd w:fill="F2F4F5"/>
            <w:tcMar>
              <w:top w:w="75" w:type="dxa"/>
              <w:start w:w="85" w:type="dxa"/>
              <w:bottom w:w="75" w:type="dxa"/>
              <w:end w:w="85" w:type="dxa"/>
            </w:tcMar>
            <w:vAlign w:val="center"/>
          </w:tcPr>
          <w:p>
            <w:pPr>
              <w:jc w:val="center"/>
            </w:pPr>
            <w:r>
              <w:rPr>
                <w:rFonts w:ascii="Aptos" w:hAnsi="Aptos"/>
                <w:b w:val="0"/>
                <w:color w:val="1F2933"/>
                <w:sz w:val="17"/>
              </w:rPr>
              <w:t>₦14.96bn</w:t>
            </w:r>
          </w:p>
        </w:tc>
        <w:tc>
          <w:tcPr>
            <w:tcW w:type="dxa" w:w="2016"/>
            <w:shd w:fill="F2F4F5"/>
            <w:tcMar>
              <w:top w:w="75" w:type="dxa"/>
              <w:start w:w="85" w:type="dxa"/>
              <w:bottom w:w="75" w:type="dxa"/>
              <w:end w:w="85" w:type="dxa"/>
            </w:tcMar>
            <w:vAlign w:val="center"/>
          </w:tcPr>
          <w:p>
            <w:pPr>
              <w:jc w:val="center"/>
            </w:pPr>
            <w:r>
              <w:rPr>
                <w:rFonts w:ascii="Aptos" w:hAnsi="Aptos"/>
                <w:b w:val="0"/>
                <w:color w:val="1F2933"/>
                <w:sz w:val="17"/>
              </w:rPr>
              <w:t>Rounded to ₦15.0bn</w:t>
            </w:r>
          </w:p>
        </w:tc>
      </w:tr>
    </w:tbl>
    <w:p>
      <w:pPr>
        <w:pStyle w:val="Heading2"/>
        <w:keepNext/>
      </w:pPr>
      <w:r>
        <w:rPr>
          <w:rFonts w:ascii="Aptos" w:hAnsi="Aptos"/>
          <w:b/>
          <w:color w:val="0F7896"/>
          <w:sz w:val="24"/>
        </w:rPr>
        <w:t>4.1 Why the lower and upper cases use different discounts</w:t>
      </w:r>
    </w:p>
    <w:p>
      <w:pPr>
        <w:spacing w:after="100" w:line="276" w:lineRule="auto"/>
      </w:pPr>
      <w:r>
        <w:rPr>
          <w:rFonts w:ascii="Aptos" w:hAnsi="Aptos"/>
          <w:color w:val="1F2933"/>
          <w:sz w:val="19"/>
        </w:rPr>
        <w:t>The lower bound assumes standard ground conditions, direct bulk procurement, efficient construction and no unusual grid requirements; it therefore receives the larger scale discount. The upper bound assumes more complex civil/electrical scope, weaker procurement savings and a larger risk allowance; it receives the smaller discount.</w:t>
      </w:r>
    </w:p>
    <w:p>
      <w:pPr>
        <w:pStyle w:val="Heading2"/>
        <w:keepNext/>
      </w:pPr>
      <w:r>
        <w:rPr>
          <w:rFonts w:ascii="Aptos" w:hAnsi="Aptos"/>
          <w:b/>
          <w:color w:val="0F7896"/>
          <w:sz w:val="24"/>
        </w:rPr>
        <w:t>4.2 Central planning figures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shd w:fill="0B3B60"/>
            <w:vAlign w:val="center"/>
            <w:tcMar>
              <w:top w:w="90" w:type="dxa"/>
              <w:start w:w="90" w:type="dxa"/>
              <w:bottom w:w="90" w:type="dxa"/>
              <w:end w:w="90" w:type="dxa"/>
            </w:tcMar>
          </w:tcPr>
          <w:p>
            <w:pPr>
              <w:jc w:val="center"/>
            </w:pPr>
            <w:r>
              <w:rPr>
                <w:rFonts w:ascii="Aptos" w:hAnsi="Aptos"/>
                <w:b/>
                <w:color w:val="FFFFFF"/>
                <w:sz w:val="17"/>
              </w:rPr>
              <w:t>Project</w:t>
            </w:r>
          </w:p>
        </w:tc>
        <w:tc>
          <w:tcPr>
            <w:tcW w:type="dxa" w:w="3744"/>
            <w:shd w:fill="0B3B60"/>
            <w:vAlign w:val="center"/>
            <w:tcMar>
              <w:top w:w="90" w:type="dxa"/>
              <w:start w:w="90" w:type="dxa"/>
              <w:bottom w:w="90" w:type="dxa"/>
              <w:end w:w="90" w:type="dxa"/>
            </w:tcMar>
          </w:tcPr>
          <w:p>
            <w:pPr>
              <w:jc w:val="center"/>
            </w:pPr>
            <w:r>
              <w:rPr>
                <w:rFonts w:ascii="Aptos" w:hAnsi="Aptos"/>
                <w:b/>
                <w:color w:val="FFFFFF"/>
                <w:sz w:val="17"/>
              </w:rPr>
              <w:t>Midpoint formula</w:t>
            </w:r>
          </w:p>
        </w:tc>
        <w:tc>
          <w:tcPr>
            <w:tcW w:type="dxa" w:w="2016"/>
            <w:shd w:fill="0B3B60"/>
            <w:vAlign w:val="center"/>
            <w:tcMar>
              <w:top w:w="90" w:type="dxa"/>
              <w:start w:w="90" w:type="dxa"/>
              <w:bottom w:w="90" w:type="dxa"/>
              <w:end w:w="90" w:type="dxa"/>
            </w:tcMar>
          </w:tcPr>
          <w:p>
            <w:pPr>
              <w:jc w:val="center"/>
            </w:pPr>
            <w:r>
              <w:rPr>
                <w:rFonts w:ascii="Aptos" w:hAnsi="Aptos"/>
                <w:b/>
                <w:color w:val="FFFFFF"/>
                <w:sz w:val="17"/>
              </w:rPr>
              <w:t>Calculated midpoint</w:t>
            </w:r>
          </w:p>
        </w:tc>
        <w:tc>
          <w:tcPr>
            <w:tcW w:type="dxa" w:w="2016"/>
            <w:shd w:fill="0B3B60"/>
            <w:vAlign w:val="center"/>
            <w:tcMar>
              <w:top w:w="90" w:type="dxa"/>
              <w:start w:w="90" w:type="dxa"/>
              <w:bottom w:w="90" w:type="dxa"/>
              <w:end w:w="90" w:type="dxa"/>
            </w:tcMar>
          </w:tcPr>
          <w:p>
            <w:pPr>
              <w:jc w:val="center"/>
            </w:pPr>
            <w:r>
              <w:rPr>
                <w:rFonts w:ascii="Aptos" w:hAnsi="Aptos"/>
                <w:b/>
                <w:color w:val="FFFFFF"/>
                <w:sz w:val="17"/>
              </w:rPr>
              <w:t>Planning figure</w:t>
            </w:r>
          </w:p>
        </w:tc>
      </w:tr>
      <w:tr>
        <w:trPr>
          <w:cantSplit/>
        </w:trPr>
        <w:tc>
          <w:tcPr>
            <w:tcW w:type="dxa" w:w="1440"/>
            <w:shd w:fill="FFFFFF"/>
            <w:tcMar>
              <w:top w:w="75" w:type="dxa"/>
              <w:start w:w="85" w:type="dxa"/>
              <w:bottom w:w="75" w:type="dxa"/>
              <w:end w:w="85" w:type="dxa"/>
            </w:tcMar>
            <w:vAlign w:val="center"/>
          </w:tcPr>
          <w:p>
            <w:pPr>
              <w:jc w:val="left"/>
            </w:pPr>
            <w:r>
              <w:rPr>
                <w:rFonts w:ascii="Aptos" w:hAnsi="Aptos"/>
                <w:b/>
                <w:color w:val="1F2933"/>
                <w:sz w:val="17"/>
              </w:rPr>
              <w:t>5MW</w:t>
            </w:r>
          </w:p>
        </w:tc>
        <w:tc>
          <w:tcPr>
            <w:tcW w:type="dxa" w:w="3744"/>
            <w:shd w:fill="FFFFFF"/>
            <w:tcMar>
              <w:top w:w="75" w:type="dxa"/>
              <w:start w:w="85" w:type="dxa"/>
              <w:bottom w:w="75" w:type="dxa"/>
              <w:end w:w="85" w:type="dxa"/>
            </w:tcMar>
            <w:vAlign w:val="center"/>
          </w:tcPr>
          <w:p>
            <w:pPr>
              <w:jc w:val="center"/>
            </w:pPr>
            <w:r>
              <w:rPr>
                <w:rFonts w:ascii="Aptos" w:hAnsi="Aptos"/>
                <w:b w:val="0"/>
                <w:color w:val="1F2933"/>
                <w:sz w:val="17"/>
              </w:rPr>
              <w:t>(₦4.62bn + ₦7.82bn) ÷ 2</w:t>
            </w:r>
          </w:p>
        </w:tc>
        <w:tc>
          <w:tcPr>
            <w:tcW w:type="dxa" w:w="2016"/>
            <w:shd w:fill="FFFFFF"/>
            <w:tcMar>
              <w:top w:w="75" w:type="dxa"/>
              <w:start w:w="85" w:type="dxa"/>
              <w:bottom w:w="75" w:type="dxa"/>
              <w:end w:w="85" w:type="dxa"/>
            </w:tcMar>
            <w:vAlign w:val="center"/>
          </w:tcPr>
          <w:p>
            <w:pPr>
              <w:jc w:val="center"/>
            </w:pPr>
            <w:r>
              <w:rPr>
                <w:rFonts w:ascii="Aptos" w:hAnsi="Aptos"/>
                <w:b w:val="0"/>
                <w:color w:val="1F2933"/>
                <w:sz w:val="17"/>
              </w:rPr>
              <w:t>₦6.22bn</w:t>
            </w:r>
          </w:p>
        </w:tc>
        <w:tc>
          <w:tcPr>
            <w:tcW w:type="dxa" w:w="2016"/>
            <w:shd w:fill="FFFFFF"/>
            <w:tcMar>
              <w:top w:w="75" w:type="dxa"/>
              <w:start w:w="85" w:type="dxa"/>
              <w:bottom w:w="75" w:type="dxa"/>
              <w:end w:w="85" w:type="dxa"/>
            </w:tcMar>
            <w:vAlign w:val="center"/>
          </w:tcPr>
          <w:p>
            <w:pPr>
              <w:jc w:val="center"/>
            </w:pPr>
            <w:r>
              <w:rPr>
                <w:rFonts w:ascii="Aptos" w:hAnsi="Aptos"/>
                <w:b w:val="0"/>
                <w:color w:val="1F2933"/>
                <w:sz w:val="17"/>
              </w:rPr>
              <w:t>₦6.20bn</w:t>
            </w:r>
          </w:p>
        </w:tc>
      </w:tr>
      <w:tr>
        <w:trPr>
          <w:cantSplit/>
        </w:trPr>
        <w:tc>
          <w:tcPr>
            <w:tcW w:type="dxa" w:w="1440"/>
            <w:shd w:fill="F2F4F5"/>
            <w:tcMar>
              <w:top w:w="75" w:type="dxa"/>
              <w:start w:w="85" w:type="dxa"/>
              <w:bottom w:w="75" w:type="dxa"/>
              <w:end w:w="85" w:type="dxa"/>
            </w:tcMar>
            <w:vAlign w:val="center"/>
          </w:tcPr>
          <w:p>
            <w:pPr>
              <w:jc w:val="left"/>
            </w:pPr>
            <w:r>
              <w:rPr>
                <w:rFonts w:ascii="Aptos" w:hAnsi="Aptos"/>
                <w:b/>
                <w:color w:val="1F2933"/>
                <w:sz w:val="17"/>
              </w:rPr>
              <w:t>10MW</w:t>
            </w:r>
          </w:p>
        </w:tc>
        <w:tc>
          <w:tcPr>
            <w:tcW w:type="dxa" w:w="3744"/>
            <w:shd w:fill="F2F4F5"/>
            <w:tcMar>
              <w:top w:w="75" w:type="dxa"/>
              <w:start w:w="85" w:type="dxa"/>
              <w:bottom w:w="75" w:type="dxa"/>
              <w:end w:w="85" w:type="dxa"/>
            </w:tcMar>
            <w:vAlign w:val="center"/>
          </w:tcPr>
          <w:p>
            <w:pPr>
              <w:jc w:val="center"/>
            </w:pPr>
            <w:r>
              <w:rPr>
                <w:rFonts w:ascii="Aptos" w:hAnsi="Aptos"/>
                <w:b w:val="0"/>
                <w:color w:val="1F2933"/>
                <w:sz w:val="17"/>
              </w:rPr>
              <w:t>(₦8.61bn + ₦14.96bn) ÷ 2</w:t>
            </w:r>
          </w:p>
        </w:tc>
        <w:tc>
          <w:tcPr>
            <w:tcW w:type="dxa" w:w="2016"/>
            <w:shd w:fill="F2F4F5"/>
            <w:tcMar>
              <w:top w:w="75" w:type="dxa"/>
              <w:start w:w="85" w:type="dxa"/>
              <w:bottom w:w="75" w:type="dxa"/>
              <w:end w:w="85" w:type="dxa"/>
            </w:tcMar>
            <w:vAlign w:val="center"/>
          </w:tcPr>
          <w:p>
            <w:pPr>
              <w:jc w:val="center"/>
            </w:pPr>
            <w:r>
              <w:rPr>
                <w:rFonts w:ascii="Aptos" w:hAnsi="Aptos"/>
                <w:b w:val="0"/>
                <w:color w:val="1F2933"/>
                <w:sz w:val="17"/>
              </w:rPr>
              <w:t>₦11.79bn</w:t>
            </w:r>
          </w:p>
        </w:tc>
        <w:tc>
          <w:tcPr>
            <w:tcW w:type="dxa" w:w="2016"/>
            <w:shd w:fill="F2F4F5"/>
            <w:tcMar>
              <w:top w:w="75" w:type="dxa"/>
              <w:start w:w="85" w:type="dxa"/>
              <w:bottom w:w="75" w:type="dxa"/>
              <w:end w:w="85" w:type="dxa"/>
            </w:tcMar>
            <w:vAlign w:val="center"/>
          </w:tcPr>
          <w:p>
            <w:pPr>
              <w:jc w:val="center"/>
            </w:pPr>
            <w:r>
              <w:rPr>
                <w:rFonts w:ascii="Aptos" w:hAnsi="Aptos"/>
                <w:b w:val="0"/>
                <w:color w:val="1F2933"/>
                <w:sz w:val="17"/>
              </w:rPr>
              <w:t>₦11.80bn</w:t>
            </w:r>
          </w:p>
        </w:tc>
      </w:tr>
    </w:tbl>
    <w:p>
      <w:pPr>
        <w:pStyle w:val="Heading1"/>
        <w:keepNext/>
      </w:pPr>
      <w:r>
        <w:rPr>
          <w:rFonts w:ascii="Aptos" w:hAnsi="Aptos"/>
          <w:b/>
          <w:color w:val="0B3B60"/>
          <w:sz w:val="32"/>
        </w:rPr>
        <w:t>5. Alternative Configuration Ranges</w:t>
      </w:r>
    </w:p>
    <w:p>
      <w:pPr>
        <w:spacing w:after="100" w:line="276" w:lineRule="auto"/>
      </w:pPr>
      <w:r>
        <w:rPr>
          <w:rFonts w:ascii="Aptos" w:hAnsi="Aptos"/>
          <w:color w:val="1F2933"/>
          <w:sz w:val="19"/>
        </w:rPr>
        <w:t>Battery capacity is the most important configuration variable. A project described only as “5MW solar” can mean panels without storage, a 5MWp hybrid plant with 5MWh storage, or a battery-heavy plant intended to serve night loads. The following ranges separate those cases.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672"/>
            <w:shd w:fill="0B3B60"/>
            <w:vAlign w:val="center"/>
            <w:tcMar>
              <w:top w:w="90" w:type="dxa"/>
              <w:start w:w="90" w:type="dxa"/>
              <w:bottom w:w="90" w:type="dxa"/>
              <w:end w:w="90" w:type="dxa"/>
            </w:tcMar>
          </w:tcPr>
          <w:p>
            <w:pPr>
              <w:jc w:val="center"/>
            </w:pPr>
            <w:r>
              <w:rPr>
                <w:rFonts w:ascii="Aptos" w:hAnsi="Aptos"/>
                <w:b/>
                <w:color w:val="FFFFFF"/>
                <w:sz w:val="17"/>
              </w:rPr>
              <w:t>Configuration</w:t>
            </w:r>
          </w:p>
        </w:tc>
        <w:tc>
          <w:tcPr>
            <w:tcW w:type="dxa" w:w="1800"/>
            <w:shd w:fill="0B3B60"/>
            <w:vAlign w:val="center"/>
            <w:tcMar>
              <w:top w:w="90" w:type="dxa"/>
              <w:start w:w="90" w:type="dxa"/>
              <w:bottom w:w="90" w:type="dxa"/>
              <w:end w:w="90" w:type="dxa"/>
            </w:tcMar>
          </w:tcPr>
          <w:p>
            <w:pPr>
              <w:jc w:val="center"/>
            </w:pPr>
            <w:r>
              <w:rPr>
                <w:rFonts w:ascii="Aptos" w:hAnsi="Aptos"/>
                <w:b/>
                <w:color w:val="FFFFFF"/>
                <w:sz w:val="17"/>
              </w:rPr>
              <w:t>1MW</w:t>
            </w:r>
          </w:p>
        </w:tc>
        <w:tc>
          <w:tcPr>
            <w:tcW w:type="dxa" w:w="1800"/>
            <w:shd w:fill="0B3B60"/>
            <w:vAlign w:val="center"/>
            <w:tcMar>
              <w:top w:w="90" w:type="dxa"/>
              <w:start w:w="90" w:type="dxa"/>
              <w:bottom w:w="90" w:type="dxa"/>
              <w:end w:w="90" w:type="dxa"/>
            </w:tcMar>
          </w:tcPr>
          <w:p>
            <w:pPr>
              <w:jc w:val="center"/>
            </w:pPr>
            <w:r>
              <w:rPr>
                <w:rFonts w:ascii="Aptos" w:hAnsi="Aptos"/>
                <w:b/>
                <w:color w:val="FFFFFF"/>
                <w:sz w:val="17"/>
              </w:rPr>
              <w:t>5MW</w:t>
            </w:r>
          </w:p>
        </w:tc>
        <w:tc>
          <w:tcPr>
            <w:tcW w:type="dxa" w:w="1800"/>
            <w:shd w:fill="0B3B60"/>
            <w:vAlign w:val="center"/>
            <w:tcMar>
              <w:top w:w="90" w:type="dxa"/>
              <w:start w:w="90" w:type="dxa"/>
              <w:bottom w:w="90" w:type="dxa"/>
              <w:end w:w="90" w:type="dxa"/>
            </w:tcMar>
          </w:tcPr>
          <w:p>
            <w:pPr>
              <w:jc w:val="center"/>
            </w:pPr>
            <w:r>
              <w:rPr>
                <w:rFonts w:ascii="Aptos" w:hAnsi="Aptos"/>
                <w:b/>
                <w:color w:val="FFFFFF"/>
                <w:sz w:val="17"/>
              </w:rPr>
              <w:t>10MW</w:t>
            </w:r>
          </w:p>
        </w:tc>
      </w:tr>
      <w:tr>
        <w:trPr>
          <w:cantSplit/>
        </w:trPr>
        <w:tc>
          <w:tcPr>
            <w:tcW w:type="dxa" w:w="3672"/>
            <w:shd w:fill="FFFFFF"/>
            <w:tcMar>
              <w:top w:w="75" w:type="dxa"/>
              <w:start w:w="85" w:type="dxa"/>
              <w:bottom w:w="75" w:type="dxa"/>
              <w:end w:w="85" w:type="dxa"/>
            </w:tcMar>
            <w:vAlign w:val="center"/>
          </w:tcPr>
          <w:p>
            <w:pPr>
              <w:jc w:val="left"/>
            </w:pPr>
            <w:r>
              <w:rPr>
                <w:rFonts w:ascii="Aptos" w:hAnsi="Aptos"/>
                <w:b/>
                <w:color w:val="1F2933"/>
                <w:sz w:val="17"/>
              </w:rPr>
              <w:t>Solar only - no battery</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₦0.75bn–₦1.20bn</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₦3.40bn–₦5.40bn</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₦6.30bn–₦10.20bn</w:t>
            </w:r>
          </w:p>
        </w:tc>
      </w:tr>
      <w:tr>
        <w:trPr>
          <w:cantSplit/>
        </w:trPr>
        <w:tc>
          <w:tcPr>
            <w:tcW w:type="dxa" w:w="3672"/>
            <w:shd w:fill="F2F4F5"/>
            <w:tcMar>
              <w:top w:w="75" w:type="dxa"/>
              <w:start w:w="85" w:type="dxa"/>
              <w:bottom w:w="75" w:type="dxa"/>
              <w:end w:w="85" w:type="dxa"/>
            </w:tcMar>
            <w:vAlign w:val="center"/>
          </w:tcPr>
          <w:p>
            <w:pPr>
              <w:jc w:val="left"/>
            </w:pPr>
            <w:r>
              <w:rPr>
                <w:rFonts w:ascii="Aptos" w:hAnsi="Aptos"/>
                <w:b/>
                <w:color w:val="1F2933"/>
                <w:sz w:val="17"/>
              </w:rPr>
              <w:t>Standard hybrid - ~1MWh/MW</w:t>
            </w:r>
          </w:p>
        </w:tc>
        <w:tc>
          <w:tcPr>
            <w:tcW w:type="dxa" w:w="1800"/>
            <w:shd w:fill="F2F4F5"/>
            <w:tcMar>
              <w:top w:w="75" w:type="dxa"/>
              <w:start w:w="85" w:type="dxa"/>
              <w:bottom w:w="75" w:type="dxa"/>
              <w:end w:w="85" w:type="dxa"/>
            </w:tcMar>
            <w:vAlign w:val="center"/>
          </w:tcPr>
          <w:p>
            <w:pPr>
              <w:jc w:val="center"/>
            </w:pPr>
            <w:r>
              <w:rPr>
                <w:rFonts w:ascii="Aptos" w:hAnsi="Aptos"/>
                <w:b w:val="0"/>
                <w:color w:val="1F2933"/>
                <w:sz w:val="17"/>
              </w:rPr>
              <w:t>₦1.05bn–₦1.70bn</w:t>
            </w:r>
          </w:p>
        </w:tc>
        <w:tc>
          <w:tcPr>
            <w:tcW w:type="dxa" w:w="1800"/>
            <w:shd w:fill="F2F4F5"/>
            <w:tcMar>
              <w:top w:w="75" w:type="dxa"/>
              <w:start w:w="85" w:type="dxa"/>
              <w:bottom w:w="75" w:type="dxa"/>
              <w:end w:w="85" w:type="dxa"/>
            </w:tcMar>
            <w:vAlign w:val="center"/>
          </w:tcPr>
          <w:p>
            <w:pPr>
              <w:jc w:val="center"/>
            </w:pPr>
            <w:r>
              <w:rPr>
                <w:rFonts w:ascii="Aptos" w:hAnsi="Aptos"/>
                <w:b w:val="0"/>
                <w:color w:val="1F2933"/>
                <w:sz w:val="17"/>
              </w:rPr>
              <w:t>₦4.70bn–₦7.80bn</w:t>
            </w:r>
          </w:p>
        </w:tc>
        <w:tc>
          <w:tcPr>
            <w:tcW w:type="dxa" w:w="1800"/>
            <w:shd w:fill="F2F4F5"/>
            <w:tcMar>
              <w:top w:w="75" w:type="dxa"/>
              <w:start w:w="85" w:type="dxa"/>
              <w:bottom w:w="75" w:type="dxa"/>
              <w:end w:w="85" w:type="dxa"/>
            </w:tcMar>
            <w:vAlign w:val="center"/>
          </w:tcPr>
          <w:p>
            <w:pPr>
              <w:jc w:val="center"/>
            </w:pPr>
            <w:r>
              <w:rPr>
                <w:rFonts w:ascii="Aptos" w:hAnsi="Aptos"/>
                <w:b w:val="0"/>
                <w:color w:val="1F2933"/>
                <w:sz w:val="17"/>
              </w:rPr>
              <w:t>₦8.70bn–₦15.00bn</w:t>
            </w:r>
          </w:p>
        </w:tc>
      </w:tr>
      <w:tr>
        <w:trPr>
          <w:cantSplit/>
        </w:trPr>
        <w:tc>
          <w:tcPr>
            <w:tcW w:type="dxa" w:w="3672"/>
            <w:shd w:fill="FFFFFF"/>
            <w:tcMar>
              <w:top w:w="75" w:type="dxa"/>
              <w:start w:w="85" w:type="dxa"/>
              <w:bottom w:w="75" w:type="dxa"/>
              <w:end w:w="85" w:type="dxa"/>
            </w:tcMar>
            <w:vAlign w:val="center"/>
          </w:tcPr>
          <w:p>
            <w:pPr>
              <w:jc w:val="left"/>
            </w:pPr>
            <w:r>
              <w:rPr>
                <w:rFonts w:ascii="Aptos" w:hAnsi="Aptos"/>
                <w:b/>
                <w:color w:val="1F2933"/>
                <w:sz w:val="17"/>
              </w:rPr>
              <w:t>Battery-heavy - ~1.7–2MWh/MW</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₦1.30bn–₦2.10bn</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₦5.80bn–₦9.50bn</w:t>
            </w:r>
          </w:p>
        </w:tc>
        <w:tc>
          <w:tcPr>
            <w:tcW w:type="dxa" w:w="1800"/>
            <w:shd w:fill="FFFFFF"/>
            <w:tcMar>
              <w:top w:w="75" w:type="dxa"/>
              <w:start w:w="85" w:type="dxa"/>
              <w:bottom w:w="75" w:type="dxa"/>
              <w:end w:w="85" w:type="dxa"/>
            </w:tcMar>
            <w:vAlign w:val="center"/>
          </w:tcPr>
          <w:p>
            <w:pPr>
              <w:jc w:val="center"/>
            </w:pPr>
            <w:r>
              <w:rPr>
                <w:rFonts w:ascii="Aptos" w:hAnsi="Aptos"/>
                <w:b w:val="0"/>
                <w:color w:val="1F2933"/>
                <w:sz w:val="17"/>
              </w:rPr>
              <w:t>₦10.80bn–₦18.20bn</w:t>
            </w:r>
          </w:p>
        </w:tc>
      </w:tr>
    </w:tbl>
    <w:tbl>
      <w:tblPr>
        <w:tblW w:type="auto" w:w="0"/>
        <w:jc w:val="center"/>
        <w:tblLayout w:type="fixed"/>
        <w:tblLook w:firstColumn="1" w:firstRow="1" w:lastColumn="0" w:lastRow="0" w:noHBand="0" w:noVBand="1" w:val="04A0"/>
      </w:tblPr>
      <w:tblGrid>
        <w:gridCol w:w="173"/>
        <w:gridCol w:w="9432"/>
      </w:tblGrid>
      <w:tr>
        <w:tc>
          <w:tcPr>
            <w:tcW w:type="dxa" w:w="5040"/>
            <w:shd w:fill="F4B41A"/>
            <w:tcMar>
              <w:top w:w="0" w:type="dxa"/>
              <w:start w:w="0" w:type="dxa"/>
              <w:bottom w:w="0" w:type="dxa"/>
              <w:end w:w="0" w:type="dxa"/>
            </w:tcMar>
          </w:tcPr>
          <w:p/>
        </w:tc>
        <w:tc>
          <w:tcPr>
            <w:tcW w:type="dxa" w:w="5040"/>
            <w:shd w:fill="FFF4D6"/>
            <w:tcMar>
              <w:top w:w="110" w:type="dxa"/>
              <w:start w:w="140" w:type="dxa"/>
              <w:bottom w:w="110" w:type="dxa"/>
              <w:end w:w="140" w:type="dxa"/>
            </w:tcMar>
          </w:tcPr>
          <w:p>
            <w:r>
              <w:rPr>
                <w:rFonts w:ascii="Aptos" w:hAnsi="Aptos"/>
                <w:b/>
                <w:color w:val="0B3B60"/>
                <w:sz w:val="19"/>
              </w:rPr>
              <w:t xml:space="preserve">Recommended use: </w:t>
            </w:r>
            <w:r>
              <w:rPr>
                <w:rFonts w:ascii="Aptos" w:hAnsi="Aptos"/>
                <w:color w:val="1F2933"/>
                <w:sz w:val="19"/>
              </w:rPr>
              <w:t>Use the standard-hybrid figures for preliminary financial modelling unless the intended battery autonomy has already been defined. Use the solar-only figures only where the grid or generators can absorb intermittency and no night-time solar shifting is required.</w:t>
            </w:r>
          </w:p>
        </w:tc>
      </w:tr>
    </w:tbl>
    <w:p>
      <w:pPr>
        <w:pStyle w:val="Heading1"/>
        <w:keepNext/>
      </w:pPr>
      <w:r>
        <w:rPr>
          <w:rFonts w:ascii="Aptos" w:hAnsi="Aptos"/>
          <w:b/>
          <w:color w:val="0B3B60"/>
          <w:sz w:val="32"/>
        </w:rPr>
        <w:t>6. Sensitivity and Main Cost Drivers</w:t>
      </w:r>
    </w:p>
    <w:p>
      <w:pPr>
        <w:pStyle w:val="Heading2"/>
        <w:keepNext/>
      </w:pPr>
      <w:r>
        <w:rPr>
          <w:rFonts w:ascii="Aptos" w:hAnsi="Aptos"/>
          <w:b/>
          <w:color w:val="0F7896"/>
          <w:sz w:val="24"/>
        </w:rPr>
        <w:t>6.1 Equipment-price sensitivity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4392"/>
            <w:shd w:fill="0B3B60"/>
            <w:vAlign w:val="center"/>
            <w:tcMar>
              <w:top w:w="90" w:type="dxa"/>
              <w:start w:w="90" w:type="dxa"/>
              <w:bottom w:w="90" w:type="dxa"/>
              <w:end w:w="90" w:type="dxa"/>
            </w:tcMar>
          </w:tcPr>
          <w:p>
            <w:pPr>
              <w:jc w:val="center"/>
            </w:pPr>
            <w:r>
              <w:rPr>
                <w:rFonts w:ascii="Aptos" w:hAnsi="Aptos"/>
                <w:b/>
                <w:color w:val="FFFFFF"/>
                <w:sz w:val="17"/>
              </w:rPr>
              <w:t>Input change</w:t>
            </w:r>
          </w:p>
        </w:tc>
        <w:tc>
          <w:tcPr>
            <w:tcW w:type="dxa" w:w="1584"/>
            <w:shd w:fill="0B3B60"/>
            <w:vAlign w:val="center"/>
            <w:tcMar>
              <w:top w:w="90" w:type="dxa"/>
              <w:start w:w="90" w:type="dxa"/>
              <w:bottom w:w="90" w:type="dxa"/>
              <w:end w:w="90" w:type="dxa"/>
            </w:tcMar>
          </w:tcPr>
          <w:p>
            <w:pPr>
              <w:jc w:val="center"/>
            </w:pPr>
            <w:r>
              <w:rPr>
                <w:rFonts w:ascii="Aptos" w:hAnsi="Aptos"/>
                <w:b/>
                <w:color w:val="FFFFFF"/>
                <w:sz w:val="17"/>
              </w:rPr>
              <w:t>1MW impact</w:t>
            </w:r>
          </w:p>
        </w:tc>
        <w:tc>
          <w:tcPr>
            <w:tcW w:type="dxa" w:w="1584"/>
            <w:shd w:fill="0B3B60"/>
            <w:vAlign w:val="center"/>
            <w:tcMar>
              <w:top w:w="90" w:type="dxa"/>
              <w:start w:w="90" w:type="dxa"/>
              <w:bottom w:w="90" w:type="dxa"/>
              <w:end w:w="90" w:type="dxa"/>
            </w:tcMar>
          </w:tcPr>
          <w:p>
            <w:pPr>
              <w:jc w:val="center"/>
            </w:pPr>
            <w:r>
              <w:rPr>
                <w:rFonts w:ascii="Aptos" w:hAnsi="Aptos"/>
                <w:b/>
                <w:color w:val="FFFFFF"/>
                <w:sz w:val="17"/>
              </w:rPr>
              <w:t>5MW impact</w:t>
            </w:r>
          </w:p>
        </w:tc>
        <w:tc>
          <w:tcPr>
            <w:tcW w:type="dxa" w:w="1584"/>
            <w:shd w:fill="0B3B60"/>
            <w:vAlign w:val="center"/>
            <w:tcMar>
              <w:top w:w="90" w:type="dxa"/>
              <w:start w:w="90" w:type="dxa"/>
              <w:bottom w:w="90" w:type="dxa"/>
              <w:end w:w="90" w:type="dxa"/>
            </w:tcMar>
          </w:tcPr>
          <w:p>
            <w:pPr>
              <w:jc w:val="center"/>
            </w:pPr>
            <w:r>
              <w:rPr>
                <w:rFonts w:ascii="Aptos" w:hAnsi="Aptos"/>
                <w:b/>
                <w:color w:val="FFFFFF"/>
                <w:sz w:val="17"/>
              </w:rPr>
              <w:t>10MW impact</w:t>
            </w:r>
          </w:p>
        </w:tc>
      </w:tr>
      <w:tr>
        <w:trPr>
          <w:cantSplit/>
        </w:trPr>
        <w:tc>
          <w:tcPr>
            <w:tcW w:type="dxa" w:w="4392"/>
            <w:shd w:fill="FFFFFF"/>
            <w:tcMar>
              <w:top w:w="75" w:type="dxa"/>
              <w:start w:w="85" w:type="dxa"/>
              <w:bottom w:w="75" w:type="dxa"/>
              <w:end w:w="85" w:type="dxa"/>
            </w:tcMar>
            <w:vAlign w:val="center"/>
          </w:tcPr>
          <w:p>
            <w:pPr>
              <w:jc w:val="left"/>
            </w:pPr>
            <w:r>
              <w:rPr>
                <w:rFonts w:ascii="Aptos" w:hAnsi="Aptos"/>
                <w:b/>
                <w:color w:val="1F2933"/>
                <w:sz w:val="17"/>
              </w:rPr>
              <w:t>Panel unit price changes by ₦10,000</w:t>
            </w:r>
          </w:p>
        </w:tc>
        <w:tc>
          <w:tcPr>
            <w:tcW w:type="dxa" w:w="1584"/>
            <w:shd w:fill="FFFFFF"/>
            <w:tcMar>
              <w:top w:w="75" w:type="dxa"/>
              <w:start w:w="85" w:type="dxa"/>
              <w:bottom w:w="75" w:type="dxa"/>
              <w:end w:w="85" w:type="dxa"/>
            </w:tcMar>
            <w:vAlign w:val="center"/>
          </w:tcPr>
          <w:p>
            <w:pPr>
              <w:jc w:val="center"/>
            </w:pPr>
            <w:r>
              <w:rPr>
                <w:rFonts w:ascii="Aptos" w:hAnsi="Aptos"/>
                <w:b w:val="0"/>
                <w:color w:val="1F2933"/>
                <w:sz w:val="17"/>
              </w:rPr>
              <w:t>₦17.4m</w:t>
            </w:r>
          </w:p>
        </w:tc>
        <w:tc>
          <w:tcPr>
            <w:tcW w:type="dxa" w:w="1584"/>
            <w:shd w:fill="FFFFFF"/>
            <w:tcMar>
              <w:top w:w="75" w:type="dxa"/>
              <w:start w:w="85" w:type="dxa"/>
              <w:bottom w:w="75" w:type="dxa"/>
              <w:end w:w="85" w:type="dxa"/>
            </w:tcMar>
            <w:vAlign w:val="center"/>
          </w:tcPr>
          <w:p>
            <w:pPr>
              <w:jc w:val="center"/>
            </w:pPr>
            <w:r>
              <w:rPr>
                <w:rFonts w:ascii="Aptos" w:hAnsi="Aptos"/>
                <w:b w:val="0"/>
                <w:color w:val="1F2933"/>
                <w:sz w:val="17"/>
              </w:rPr>
              <w:t>₦87.0m</w:t>
            </w:r>
          </w:p>
        </w:tc>
        <w:tc>
          <w:tcPr>
            <w:tcW w:type="dxa" w:w="1584"/>
            <w:shd w:fill="FFFFFF"/>
            <w:tcMar>
              <w:top w:w="75" w:type="dxa"/>
              <w:start w:w="85" w:type="dxa"/>
              <w:bottom w:w="75" w:type="dxa"/>
              <w:end w:w="85" w:type="dxa"/>
            </w:tcMar>
            <w:vAlign w:val="center"/>
          </w:tcPr>
          <w:p>
            <w:pPr>
              <w:jc w:val="center"/>
            </w:pPr>
            <w:r>
              <w:rPr>
                <w:rFonts w:ascii="Aptos" w:hAnsi="Aptos"/>
                <w:b w:val="0"/>
                <w:color w:val="1F2933"/>
                <w:sz w:val="17"/>
              </w:rPr>
              <w:t>₦173.9m</w:t>
            </w:r>
          </w:p>
        </w:tc>
      </w:tr>
      <w:tr>
        <w:trPr>
          <w:cantSplit/>
        </w:trPr>
        <w:tc>
          <w:tcPr>
            <w:tcW w:type="dxa" w:w="4392"/>
            <w:shd w:fill="F2F4F5"/>
            <w:tcMar>
              <w:top w:w="75" w:type="dxa"/>
              <w:start w:w="85" w:type="dxa"/>
              <w:bottom w:w="75" w:type="dxa"/>
              <w:end w:w="85" w:type="dxa"/>
            </w:tcMar>
            <w:vAlign w:val="center"/>
          </w:tcPr>
          <w:p>
            <w:pPr>
              <w:jc w:val="left"/>
            </w:pPr>
            <w:r>
              <w:rPr>
                <w:rFonts w:ascii="Aptos" w:hAnsi="Aptos"/>
                <w:b/>
                <w:color w:val="1F2933"/>
                <w:sz w:val="17"/>
              </w:rPr>
              <w:t>50kW inverter equivalent changes by ₦500,000</w:t>
            </w:r>
          </w:p>
        </w:tc>
        <w:tc>
          <w:tcPr>
            <w:tcW w:type="dxa" w:w="1584"/>
            <w:shd w:fill="F2F4F5"/>
            <w:tcMar>
              <w:top w:w="75" w:type="dxa"/>
              <w:start w:w="85" w:type="dxa"/>
              <w:bottom w:w="75" w:type="dxa"/>
              <w:end w:w="85" w:type="dxa"/>
            </w:tcMar>
            <w:vAlign w:val="center"/>
          </w:tcPr>
          <w:p>
            <w:pPr>
              <w:jc w:val="center"/>
            </w:pPr>
            <w:r>
              <w:rPr>
                <w:rFonts w:ascii="Aptos" w:hAnsi="Aptos"/>
                <w:b w:val="0"/>
                <w:color w:val="1F2933"/>
                <w:sz w:val="17"/>
              </w:rPr>
              <w:t>₦8.0m</w:t>
            </w:r>
          </w:p>
        </w:tc>
        <w:tc>
          <w:tcPr>
            <w:tcW w:type="dxa" w:w="1584"/>
            <w:shd w:fill="F2F4F5"/>
            <w:tcMar>
              <w:top w:w="75" w:type="dxa"/>
              <w:start w:w="85" w:type="dxa"/>
              <w:bottom w:w="75" w:type="dxa"/>
              <w:end w:w="85" w:type="dxa"/>
            </w:tcMar>
            <w:vAlign w:val="center"/>
          </w:tcPr>
          <w:p>
            <w:pPr>
              <w:jc w:val="center"/>
            </w:pPr>
            <w:r>
              <w:rPr>
                <w:rFonts w:ascii="Aptos" w:hAnsi="Aptos"/>
                <w:b w:val="0"/>
                <w:color w:val="1F2933"/>
                <w:sz w:val="17"/>
              </w:rPr>
              <w:t>₦40.0m</w:t>
            </w:r>
          </w:p>
        </w:tc>
        <w:tc>
          <w:tcPr>
            <w:tcW w:type="dxa" w:w="1584"/>
            <w:shd w:fill="F2F4F5"/>
            <w:tcMar>
              <w:top w:w="75" w:type="dxa"/>
              <w:start w:w="85" w:type="dxa"/>
              <w:bottom w:w="75" w:type="dxa"/>
              <w:end w:w="85" w:type="dxa"/>
            </w:tcMar>
            <w:vAlign w:val="center"/>
          </w:tcPr>
          <w:p>
            <w:pPr>
              <w:jc w:val="center"/>
            </w:pPr>
            <w:r>
              <w:rPr>
                <w:rFonts w:ascii="Aptos" w:hAnsi="Aptos"/>
                <w:b w:val="0"/>
                <w:color w:val="1F2933"/>
                <w:sz w:val="17"/>
              </w:rPr>
              <w:t>₦80.0m</w:t>
            </w:r>
          </w:p>
        </w:tc>
      </w:tr>
      <w:tr>
        <w:trPr>
          <w:cantSplit/>
        </w:trPr>
        <w:tc>
          <w:tcPr>
            <w:tcW w:type="dxa" w:w="4392"/>
            <w:shd w:fill="FFFFFF"/>
            <w:tcMar>
              <w:top w:w="75" w:type="dxa"/>
              <w:start w:w="85" w:type="dxa"/>
              <w:bottom w:w="75" w:type="dxa"/>
              <w:end w:w="85" w:type="dxa"/>
            </w:tcMar>
            <w:vAlign w:val="center"/>
          </w:tcPr>
          <w:p>
            <w:pPr>
              <w:jc w:val="left"/>
            </w:pPr>
            <w:r>
              <w:rPr>
                <w:rFonts w:ascii="Aptos" w:hAnsi="Aptos"/>
                <w:b/>
                <w:color w:val="1F2933"/>
                <w:sz w:val="17"/>
              </w:rPr>
              <w:t>5.12kWh battery module changes by ₦100,000</w:t>
            </w:r>
          </w:p>
        </w:tc>
        <w:tc>
          <w:tcPr>
            <w:tcW w:type="dxa" w:w="1584"/>
            <w:shd w:fill="FFFFFF"/>
            <w:tcMar>
              <w:top w:w="75" w:type="dxa"/>
              <w:start w:w="85" w:type="dxa"/>
              <w:bottom w:w="75" w:type="dxa"/>
              <w:end w:w="85" w:type="dxa"/>
            </w:tcMar>
            <w:vAlign w:val="center"/>
          </w:tcPr>
          <w:p>
            <w:pPr>
              <w:jc w:val="center"/>
            </w:pPr>
            <w:r>
              <w:rPr>
                <w:rFonts w:ascii="Aptos" w:hAnsi="Aptos"/>
                <w:b w:val="0"/>
                <w:color w:val="1F2933"/>
                <w:sz w:val="17"/>
              </w:rPr>
              <w:t>₦19.6m</w:t>
            </w:r>
          </w:p>
        </w:tc>
        <w:tc>
          <w:tcPr>
            <w:tcW w:type="dxa" w:w="1584"/>
            <w:shd w:fill="FFFFFF"/>
            <w:tcMar>
              <w:top w:w="75" w:type="dxa"/>
              <w:start w:w="85" w:type="dxa"/>
              <w:bottom w:w="75" w:type="dxa"/>
              <w:end w:w="85" w:type="dxa"/>
            </w:tcMar>
            <w:vAlign w:val="center"/>
          </w:tcPr>
          <w:p>
            <w:pPr>
              <w:jc w:val="center"/>
            </w:pPr>
            <w:r>
              <w:rPr>
                <w:rFonts w:ascii="Aptos" w:hAnsi="Aptos"/>
                <w:b w:val="0"/>
                <w:color w:val="1F2933"/>
                <w:sz w:val="17"/>
              </w:rPr>
              <w:t>₦97.7m</w:t>
            </w:r>
          </w:p>
        </w:tc>
        <w:tc>
          <w:tcPr>
            <w:tcW w:type="dxa" w:w="1584"/>
            <w:shd w:fill="FFFFFF"/>
            <w:tcMar>
              <w:top w:w="75" w:type="dxa"/>
              <w:start w:w="85" w:type="dxa"/>
              <w:bottom w:w="75" w:type="dxa"/>
              <w:end w:w="85" w:type="dxa"/>
            </w:tcMar>
            <w:vAlign w:val="center"/>
          </w:tcPr>
          <w:p>
            <w:pPr>
              <w:jc w:val="center"/>
            </w:pPr>
            <w:r>
              <w:rPr>
                <w:rFonts w:ascii="Aptos" w:hAnsi="Aptos"/>
                <w:b w:val="0"/>
                <w:color w:val="1F2933"/>
                <w:sz w:val="17"/>
              </w:rPr>
              <w:t>₦195.4m</w:t>
            </w:r>
          </w:p>
        </w:tc>
      </w:tr>
    </w:tbl>
    <w:p>
      <w:pPr>
        <w:pStyle w:val="Heading2"/>
        <w:keepNext/>
      </w:pPr>
      <w:r>
        <w:rPr>
          <w:rFonts w:ascii="Aptos" w:hAnsi="Aptos"/>
          <w:b/>
          <w:color w:val="0F7896"/>
          <w:sz w:val="24"/>
        </w:rPr>
        <w:t>6.2 Battery-duration sensitivity</w:t>
      </w:r>
    </w:p>
    <w:p>
      <w:pPr>
        <w:spacing w:after="100" w:line="276" w:lineRule="auto"/>
      </w:pPr>
      <w:r>
        <w:rPr>
          <w:rFonts w:ascii="Aptos" w:hAnsi="Aptos"/>
          <w:color w:val="1F2933"/>
          <w:sz w:val="19"/>
        </w:rPr>
        <w:t>One additional 1MWh of Deye-type high-voltage storage requires roughly 196 extra 5.12kWh modules. At the working module prices, the battery modules alone add approximately ₦248m–₦323m. Battery racks, BMS, cooling, fire protection and power-conversion integration can increase the installed addition to approximately ₦285m–₦400m per extra MWh. Therefore, moving a 10MW project from 10MWh to 20MWh storage could add roughly ₦2.85bn–₦4.00bn before site-specific electrical upgrades.</w:t>
      </w:r>
    </w:p>
    <w:p>
      <w:pPr>
        <w:pStyle w:val="Heading2"/>
        <w:keepNext/>
      </w:pPr>
      <w:r>
        <w:rPr>
          <w:rFonts w:ascii="Aptos" w:hAnsi="Aptos"/>
          <w:b/>
          <w:color w:val="0F7896"/>
          <w:sz w:val="24"/>
        </w:rPr>
        <w:t>6.3 Other material cost drivers</w:t>
      </w:r>
    </w:p>
    <w:p>
      <w:pPr>
        <w:pStyle w:val="ListBullet"/>
        <w:spacing w:after="40"/>
      </w:pPr>
      <w:r>
        <w:rPr>
          <w:rFonts w:ascii="Aptos" w:hAnsi="Aptos"/>
          <w:color w:val="1F2933"/>
          <w:sz w:val="18"/>
        </w:rPr>
        <w:t>Whether the stated project capacity is MWp DC or MW AC export capacity.</w:t>
      </w:r>
    </w:p>
    <w:p>
      <w:pPr>
        <w:pStyle w:val="ListBullet"/>
        <w:spacing w:after="40"/>
      </w:pPr>
      <w:r>
        <w:rPr>
          <w:rFonts w:ascii="Aptos" w:hAnsi="Aptos"/>
          <w:color w:val="1F2933"/>
          <w:sz w:val="18"/>
        </w:rPr>
        <w:t>Required battery autonomy, permitted depth of discharge, redundancy and end-of-life capacity guarantee.</w:t>
      </w:r>
    </w:p>
    <w:p>
      <w:pPr>
        <w:pStyle w:val="ListBullet"/>
        <w:spacing w:after="40"/>
      </w:pPr>
      <w:r>
        <w:rPr>
          <w:rFonts w:ascii="Aptos" w:hAnsi="Aptos"/>
          <w:color w:val="1F2933"/>
          <w:sz w:val="18"/>
        </w:rPr>
        <w:t>Ground-mounted, rooftop, carport or mixed mounting design and the associated structural work.</w:t>
      </w:r>
    </w:p>
    <w:p>
      <w:pPr>
        <w:pStyle w:val="ListBullet"/>
        <w:spacing w:after="40"/>
      </w:pPr>
      <w:r>
        <w:rPr>
          <w:rFonts w:ascii="Aptos" w:hAnsi="Aptos"/>
          <w:color w:val="1F2933"/>
          <w:sz w:val="18"/>
        </w:rPr>
        <w:t>Distance to the point of connection and whether a new transformer, substation or evacuation line is required.</w:t>
      </w:r>
    </w:p>
    <w:p>
      <w:pPr>
        <w:pStyle w:val="ListBullet"/>
        <w:spacing w:after="40"/>
      </w:pPr>
      <w:r>
        <w:rPr>
          <w:rFonts w:ascii="Aptos" w:hAnsi="Aptos"/>
          <w:color w:val="1F2933"/>
          <w:sz w:val="18"/>
        </w:rPr>
        <w:t>Location, security, access roads, drainage, soil conditions and project schedule.</w:t>
      </w:r>
    </w:p>
    <w:p>
      <w:pPr>
        <w:pStyle w:val="ListBullet"/>
        <w:spacing w:after="40"/>
      </w:pPr>
      <w:r>
        <w:rPr>
          <w:rFonts w:ascii="Aptos" w:hAnsi="Aptos"/>
          <w:color w:val="1F2933"/>
          <w:sz w:val="18"/>
        </w:rPr>
        <w:t>Foreign-exchange rate, import duties, VAT treatment, insurance and financing structure.</w:t>
      </w:r>
    </w:p>
    <w:p>
      <w:pPr>
        <w:pStyle w:val="Heading1"/>
        <w:keepNext/>
      </w:pPr>
      <w:r>
        <w:rPr>
          <w:rFonts w:ascii="Aptos" w:hAnsi="Aptos"/>
          <w:b/>
          <w:color w:val="0B3B60"/>
          <w:sz w:val="32"/>
        </w:rPr>
        <w:t>7. External Reasonableness Check</w:t>
      </w:r>
    </w:p>
    <w:p>
      <w:pPr>
        <w:spacing w:after="100" w:line="276" w:lineRule="auto"/>
      </w:pPr>
      <w:r>
        <w:rPr>
          <w:rFonts w:ascii="Aptos" w:hAnsi="Aptos"/>
          <w:color w:val="1F2933"/>
          <w:sz w:val="19"/>
        </w:rPr>
        <w:t>IRENA’s 2025 global weighted-average total installed cost for utility-scale solar PV was US$667/kW, while the installed cost of a four-hour utility-scale battery was approximately US$140/kWh. These global averages are not directly interchangeable with a privately procured Nigerian hybrid plant: JMG’s likely project would be smaller than many utility-scale projects, use commercial hybrid equipment, incur Nigerian import/logistics costs and include customer-side electrical integration. The benchmark nevertheless confirms that battery storage and balance-of-system scope are major differentiators between solar-only and hybrid costs. [7]</w:t>
      </w:r>
    </w:p>
    <w:tbl>
      <w:tblPr>
        <w:tblW w:type="auto" w:w="0"/>
        <w:jc w:val="center"/>
        <w:tblLayout w:type="fixed"/>
        <w:tblLook w:firstColumn="1" w:firstRow="1" w:lastColumn="0" w:lastRow="0" w:noHBand="0" w:noVBand="1" w:val="04A0"/>
      </w:tblPr>
      <w:tblGrid>
        <w:gridCol w:w="173"/>
        <w:gridCol w:w="9432"/>
      </w:tblGrid>
      <w:tr>
        <w:tc>
          <w:tcPr>
            <w:tcW w:type="dxa" w:w="5040"/>
            <w:shd w:fill="F4B41A"/>
            <w:tcMar>
              <w:top w:w="0" w:type="dxa"/>
              <w:start w:w="0" w:type="dxa"/>
              <w:bottom w:w="0" w:type="dxa"/>
              <w:end w:w="0" w:type="dxa"/>
            </w:tcMar>
          </w:tcPr>
          <w:p/>
        </w:tc>
        <w:tc>
          <w:tcPr>
            <w:tcW w:type="dxa" w:w="5040"/>
            <w:shd w:fill="FFF4D6"/>
            <w:tcMar>
              <w:top w:w="110" w:type="dxa"/>
              <w:start w:w="140" w:type="dxa"/>
              <w:bottom w:w="110" w:type="dxa"/>
              <w:end w:w="140" w:type="dxa"/>
            </w:tcMar>
          </w:tcPr>
          <w:p>
            <w:r>
              <w:rPr>
                <w:rFonts w:ascii="Aptos" w:hAnsi="Aptos"/>
                <w:b/>
                <w:color w:val="0B3B60"/>
                <w:sz w:val="19"/>
              </w:rPr>
              <w:t xml:space="preserve">Benchmark limitation: </w:t>
            </w:r>
            <w:r>
              <w:rPr>
                <w:rFonts w:ascii="Aptos" w:hAnsi="Aptos"/>
                <w:color w:val="1F2933"/>
                <w:sz w:val="19"/>
              </w:rPr>
              <w:t>The IRENA figure is a global weighted average. It was used only as a high-level reasonableness check, not as the direct naira pricing formula.</w:t>
            </w:r>
          </w:p>
        </w:tc>
      </w:tr>
    </w:tbl>
    <w:p>
      <w:pPr>
        <w:pStyle w:val="Heading1"/>
        <w:keepNext/>
      </w:pPr>
      <w:r>
        <w:rPr>
          <w:rFonts w:ascii="Aptos" w:hAnsi="Aptos"/>
          <w:b/>
          <w:color w:val="0B3B60"/>
          <w:sz w:val="32"/>
        </w:rPr>
        <w:t>8. Information Needed to Convert the Estimate into a JMG Quote</w:t>
      </w:r>
    </w:p>
    <w:p>
      <w:pPr>
        <w:spacing w:after="100" w:line="276" w:lineRule="auto"/>
      </w:pPr>
      <w:r>
        <w:rPr>
          <w:rFonts w:ascii="Aptos" w:hAnsi="Aptos"/>
          <w:color w:val="1F2933"/>
          <w:sz w:val="19"/>
        </w:rPr>
        <w:t>A formal JMG proposal should be requested using a clear technical specification. The following items should be stated or requested explicitly:</w:t>
      </w:r>
    </w:p>
    <w:p>
      <w:pPr>
        <w:pStyle w:val="ListNumber"/>
        <w:spacing w:after="40"/>
      </w:pPr>
      <w:r>
        <w:rPr>
          <w:rFonts w:ascii="Aptos" w:hAnsi="Aptos"/>
          <w:color w:val="1F2933"/>
          <w:sz w:val="18"/>
        </w:rPr>
        <w:t>Confirm whether capacity means MWp DC, MW AC at inverter output, or guaranteed export capacity at the point of connection.</w:t>
      </w:r>
    </w:p>
    <w:p>
      <w:pPr>
        <w:pStyle w:val="ListNumber"/>
        <w:spacing w:after="40"/>
      </w:pPr>
      <w:r>
        <w:rPr>
          <w:rFonts w:ascii="Aptos" w:hAnsi="Aptos"/>
          <w:color w:val="1F2933"/>
          <w:sz w:val="18"/>
        </w:rPr>
        <w:t>Provide 12 months of interval load data, generator runtime, grid availability and diesel consumption.</w:t>
      </w:r>
    </w:p>
    <w:p>
      <w:pPr>
        <w:pStyle w:val="ListNumber"/>
        <w:spacing w:after="40"/>
      </w:pPr>
      <w:r>
        <w:rPr>
          <w:rFonts w:ascii="Aptos" w:hAnsi="Aptos"/>
          <w:color w:val="1F2933"/>
          <w:sz w:val="18"/>
        </w:rPr>
        <w:t>State the battery requirement in usable MWh and hours of autonomy, not only nominal battery capacity.</w:t>
      </w:r>
    </w:p>
    <w:p>
      <w:pPr>
        <w:pStyle w:val="ListNumber"/>
        <w:spacing w:after="40"/>
      </w:pPr>
      <w:r>
        <w:rPr>
          <w:rFonts w:ascii="Aptos" w:hAnsi="Aptos"/>
          <w:color w:val="1F2933"/>
          <w:sz w:val="18"/>
        </w:rPr>
        <w:t>Request panel, inverter, battery, BMS and power-conversion makes/models, quantities and warranties.</w:t>
      </w:r>
    </w:p>
    <w:p>
      <w:pPr>
        <w:pStyle w:val="ListNumber"/>
        <w:spacing w:after="40"/>
      </w:pPr>
      <w:r>
        <w:rPr>
          <w:rFonts w:ascii="Aptos" w:hAnsi="Aptos"/>
          <w:color w:val="1F2933"/>
          <w:sz w:val="18"/>
        </w:rPr>
        <w:t>Request a complete bill of quantities for transformers, switchgear, cables, protection, monitoring, civil works and fire safety.</w:t>
      </w:r>
    </w:p>
    <w:p>
      <w:pPr>
        <w:pStyle w:val="ListNumber"/>
        <w:spacing w:after="40"/>
      </w:pPr>
      <w:r>
        <w:rPr>
          <w:rFonts w:ascii="Aptos" w:hAnsi="Aptos"/>
          <w:color w:val="1F2933"/>
          <w:sz w:val="18"/>
        </w:rPr>
        <w:t>Request separately priced CAPEX, lease-to-own and pay-per-kWh options, including escalation, term, buyout and ownership conditions.</w:t>
      </w:r>
    </w:p>
    <w:p>
      <w:pPr>
        <w:pStyle w:val="ListNumber"/>
        <w:spacing w:after="40"/>
      </w:pPr>
      <w:r>
        <w:rPr>
          <w:rFonts w:ascii="Aptos" w:hAnsi="Aptos"/>
          <w:color w:val="1F2933"/>
          <w:sz w:val="18"/>
        </w:rPr>
        <w:t>Ask for guaranteed annual energy yield, performance ratio, availability, battery degradation and liquidated-damages provisions.</w:t>
      </w:r>
    </w:p>
    <w:p>
      <w:pPr>
        <w:pStyle w:val="ListNumber"/>
        <w:spacing w:after="40"/>
      </w:pPr>
      <w:r>
        <w:rPr>
          <w:rFonts w:ascii="Aptos" w:hAnsi="Aptos"/>
          <w:color w:val="1F2933"/>
          <w:sz w:val="18"/>
        </w:rPr>
        <w:t>Ask JMG to list VAT, duties, land, connection fees, grid studies, O&amp;M and all exclusions separately.</w:t>
      </w:r>
    </w:p>
    <w:p>
      <w:pPr>
        <w:pStyle w:val="Heading2"/>
        <w:keepNext/>
      </w:pPr>
      <w:r>
        <w:rPr>
          <w:rFonts w:ascii="Aptos" w:hAnsi="Aptos"/>
          <w:b/>
          <w:color w:val="0F7896"/>
          <w:sz w:val="24"/>
        </w:rPr>
        <w:t>Suggested request wording</w:t>
      </w:r>
    </w:p>
    <w:tbl>
      <w:tblPr>
        <w:tblW w:type="auto" w:w="0"/>
        <w:jc w:val="center"/>
        <w:tblLayout w:type="fixed"/>
        <w:tblLook w:firstColumn="1" w:firstRow="1" w:lastColumn="0" w:lastRow="0" w:noHBand="0" w:noVBand="1" w:val="04A0"/>
      </w:tblPr>
      <w:tblGrid>
        <w:gridCol w:w="9360"/>
      </w:tblGrid>
      <w:tr>
        <w:tc>
          <w:tcPr>
            <w:tcW w:type="dxa" w:w="10080"/>
            <w:shd w:fill="EAF3F7"/>
            <w:tcMar>
              <w:top w:w="150" w:type="dxa"/>
              <w:start w:w="170" w:type="dxa"/>
              <w:bottom w:w="150" w:type="dxa"/>
              <w:end w:w="170" w:type="dxa"/>
            </w:tcMar>
          </w:tcPr>
          <w:p>
            <w:r>
              <w:rPr>
                <w:rFonts w:ascii="Aptos" w:hAnsi="Aptos"/>
                <w:i/>
                <w:color w:val="1F2933"/>
                <w:sz w:val="18"/>
              </w:rPr>
              <w:t>Please provide a fully itemised turnkey proposal for: (a) 1MWp PV with approximately 0.8MW AC inverter capacity and 1MWh usable lithium storage; (b) 5MWp PV with approximately 4MW AC and 5MWh usable storage; and (c) 10MWp PV with approximately 8MW AC and 10MWh usable storage. For each option, show the equipment models and quantities, transformer and switchgear scope, civil works, delivery, installation, commissioning, warranties, annual energy guarantee, O&amp;M, taxes, exclusions, CAPEX price, lease-to-own price and pay-per-kWh tariff.</w:t>
            </w:r>
          </w:p>
        </w:tc>
      </w:tr>
    </w:tbl>
    <w:p>
      <w:pPr>
        <w:pStyle w:val="Heading1"/>
        <w:keepNext/>
      </w:pPr>
      <w:r>
        <w:rPr>
          <w:rFonts w:ascii="Aptos" w:hAnsi="Aptos"/>
          <w:b/>
          <w:color w:val="0B3B60"/>
          <w:sz w:val="32"/>
        </w:rPr>
        <w:t>9. Conclusion</w:t>
      </w:r>
    </w:p>
    <w:p>
      <w:pPr>
        <w:spacing w:after="100" w:line="276" w:lineRule="auto"/>
      </w:pPr>
      <w:r>
        <w:rPr>
          <w:rFonts w:ascii="Aptos" w:hAnsi="Aptos"/>
          <w:color w:val="1F2933"/>
          <w:sz w:val="19"/>
        </w:rPr>
        <w:t>The estimates were generated by first reconstructing a representative JMG hybrid design from the company’s published projects, calculating the number of panels, inverter equivalents and battery modules, pricing the core equipment, adding all major EPC and balance-of-system categories, applying contingency, and finally applying realistic economies of scale for 5MW and 10MW.</w:t>
      </w:r>
    </w:p>
    <w:p>
      <w:pPr>
        <w:spacing w:after="100" w:line="276" w:lineRule="auto"/>
      </w:pPr>
      <w:r>
        <w:rPr>
          <w:rFonts w:ascii="Aptos" w:hAnsi="Aptos"/>
          <w:color w:val="1F2933"/>
          <w:sz w:val="19"/>
        </w:rPr>
        <w:t>For preliminary budgeting, the recommended figures remain ₦1.30bn for 1MW, ₦6.20bn for 5MW and ₦11.80bn for 10MW, with conservative ceilings of ₦1.70bn, ₦7.80bn and ₦15.00bn respectively. These are defensible planning estimates, but JMG’s final quotation will depend principally on battery duration, site conditions, AC export requirement and grid interconnection scope.</w:t>
      </w:r>
    </w:p>
    <w:p>
      <w:pPr>
        <w:pStyle w:val="Heading1"/>
        <w:keepNext/>
      </w:pPr>
      <w:r>
        <w:rPr>
          <w:rFonts w:ascii="Aptos" w:hAnsi="Aptos"/>
          <w:b/>
          <w:color w:val="0B3B60"/>
          <w:sz w:val="32"/>
        </w:rPr>
        <w:t>References</w:t>
      </w:r>
    </w:p>
    <w:p>
      <w:pPr>
        <w:ind w:left="216" w:hanging="216"/>
      </w:pPr>
      <w:r>
        <w:rPr>
          <w:rFonts w:ascii="Aptos" w:hAnsi="Aptos"/>
          <w:color w:val="1F2933"/>
          <w:sz w:val="16"/>
        </w:rPr>
        <w:t xml:space="preserve">[1] JMG Solar Power Solutions - services, brands, lease options and product ratings. Accessed 16 July 2026. </w:t>
      </w:r>
      <w:hyperlink r:id="rId12">
        <w:r>
          <w:rPr>
            <w:color w:val="0F7896"/>
            <w:u w:val="single"/>
          </w:rPr>
          <w:t>Source</w:t>
        </w:r>
      </w:hyperlink>
    </w:p>
    <w:p>
      <w:pPr>
        <w:ind w:left="216" w:hanging="216"/>
      </w:pPr>
      <w:r>
        <w:rPr>
          <w:rFonts w:ascii="Aptos" w:hAnsi="Aptos"/>
          <w:color w:val="1F2933"/>
          <w:sz w:val="16"/>
        </w:rPr>
        <w:t xml:space="preserve">[2] JMG Limited, “Hybrid Solar Powering JMG Head Office - A Smart Move Toward Energy Independence,” project specifications and output. </w:t>
      </w:r>
      <w:hyperlink r:id="rId13">
        <w:r>
          <w:rPr>
            <w:color w:val="0F7896"/>
            <w:u w:val="single"/>
          </w:rPr>
          <w:t>Source</w:t>
        </w:r>
      </w:hyperlink>
    </w:p>
    <w:p>
      <w:pPr>
        <w:ind w:left="216" w:hanging="216"/>
      </w:pPr>
      <w:r>
        <w:rPr>
          <w:rFonts w:ascii="Aptos" w:hAnsi="Aptos"/>
          <w:color w:val="1F2933"/>
          <w:sz w:val="16"/>
        </w:rPr>
        <w:t xml:space="preserve">[3] JMG Limited, “JMG Solar installs hybrid solar power system for St-Catherine Specialist Hospital in Abuja,” project specifications and output. </w:t>
      </w:r>
      <w:hyperlink r:id="rId14">
        <w:r>
          <w:rPr>
            <w:color w:val="0F7896"/>
            <w:u w:val="single"/>
          </w:rPr>
          <w:t>Source</w:t>
        </w:r>
      </w:hyperlink>
    </w:p>
    <w:p>
      <w:pPr>
        <w:ind w:left="216" w:hanging="216"/>
      </w:pPr>
      <w:r>
        <w:rPr>
          <w:rFonts w:ascii="Aptos" w:hAnsi="Aptos"/>
          <w:color w:val="1F2933"/>
          <w:sz w:val="16"/>
        </w:rPr>
        <w:t xml:space="preserve">[4] ZIT Nigeria public listing for Deye 50kW hybrid inverter - market-price cross-check. </w:t>
      </w:r>
      <w:hyperlink r:id="rId15">
        <w:r>
          <w:rPr>
            <w:color w:val="0F7896"/>
            <w:u w:val="single"/>
          </w:rPr>
          <w:t>Source</w:t>
        </w:r>
      </w:hyperlink>
    </w:p>
    <w:p>
      <w:pPr>
        <w:ind w:left="216" w:hanging="216"/>
      </w:pPr>
      <w:r>
        <w:rPr>
          <w:rFonts w:ascii="Aptos" w:hAnsi="Aptos"/>
          <w:color w:val="1F2933"/>
          <w:sz w:val="16"/>
        </w:rPr>
        <w:t xml:space="preserve">[5] Fouani Nigeria and Detopsy public listings for Deye BOS-G 5.12kWh high-voltage battery - market-price cross-check. </w:t>
      </w:r>
      <w:hyperlink r:id="rId16">
        <w:r>
          <w:rPr>
            <w:color w:val="0F7896"/>
            <w:u w:val="single"/>
          </w:rPr>
          <w:t>Source</w:t>
        </w:r>
      </w:hyperlink>
    </w:p>
    <w:p>
      <w:pPr>
        <w:ind w:left="216" w:hanging="216"/>
      </w:pPr>
      <w:r>
        <w:rPr>
          <w:rFonts w:ascii="Aptos" w:hAnsi="Aptos"/>
          <w:color w:val="1F2933"/>
          <w:sz w:val="16"/>
        </w:rPr>
        <w:t xml:space="preserve">[6] Alabamart public listing for LONGi 575W module - public retail-price cross-check. </w:t>
      </w:r>
      <w:hyperlink r:id="rId17">
        <w:r>
          <w:rPr>
            <w:color w:val="0F7896"/>
            <w:u w:val="single"/>
          </w:rPr>
          <w:t>Source</w:t>
        </w:r>
      </w:hyperlink>
    </w:p>
    <w:p>
      <w:pPr>
        <w:ind w:left="216" w:hanging="216"/>
      </w:pPr>
      <w:r>
        <w:rPr>
          <w:rFonts w:ascii="Aptos" w:hAnsi="Aptos"/>
          <w:color w:val="1F2933"/>
          <w:sz w:val="16"/>
        </w:rPr>
        <w:t xml:space="preserve">[7] International Renewable Energy Agency, Renewable Power Generation Costs in 2025: Executive Summary, July 2026. </w:t>
      </w:r>
      <w:hyperlink r:id="rId18">
        <w:r>
          <w:rPr>
            <w:color w:val="0F7896"/>
            <w:u w:val="single"/>
          </w:rPr>
          <w:t>Source</w:t>
        </w:r>
      </w:hyperlink>
    </w:p>
    <w:tbl>
      <w:tblPr>
        <w:tblW w:type="auto" w:w="0"/>
        <w:jc w:val="center"/>
        <w:tblLayout w:type="fixed"/>
        <w:tblLook w:firstColumn="1" w:firstRow="1" w:lastColumn="0" w:lastRow="0" w:noHBand="0" w:noVBand="1" w:val="04A0"/>
      </w:tblPr>
      <w:tblGrid>
        <w:gridCol w:w="173"/>
        <w:gridCol w:w="9432"/>
      </w:tblGrid>
      <w:tr>
        <w:tc>
          <w:tcPr>
            <w:tcW w:type="dxa" w:w="5040"/>
            <w:shd w:fill="F4B41A"/>
            <w:tcMar>
              <w:top w:w="0" w:type="dxa"/>
              <w:start w:w="0" w:type="dxa"/>
              <w:bottom w:w="0" w:type="dxa"/>
              <w:end w:w="0" w:type="dxa"/>
            </w:tcMar>
          </w:tcPr>
          <w:p/>
        </w:tc>
        <w:tc>
          <w:tcPr>
            <w:tcW w:type="dxa" w:w="5040"/>
            <w:shd w:fill="FFF4D6"/>
            <w:tcMar>
              <w:top w:w="110" w:type="dxa"/>
              <w:start w:w="140" w:type="dxa"/>
              <w:bottom w:w="110" w:type="dxa"/>
              <w:end w:w="140" w:type="dxa"/>
            </w:tcMar>
          </w:tcPr>
          <w:p>
            <w:r>
              <w:rPr>
                <w:rFonts w:ascii="Aptos" w:hAnsi="Aptos"/>
                <w:b/>
                <w:color w:val="0B3B60"/>
                <w:sz w:val="19"/>
              </w:rPr>
              <w:t xml:space="preserve">Disclaimer: </w:t>
            </w:r>
            <w:r>
              <w:rPr>
                <w:rFonts w:ascii="Aptos" w:hAnsi="Aptos"/>
                <w:color w:val="1F2933"/>
                <w:sz w:val="19"/>
              </w:rPr>
              <w:t>This report is an independent budget estimate prepared from public information. It is not affiliated with, approved by or issued by JMG Limited. Public product prices and exchange-rate-sensitive imported-equipment costs may change without notice. A site survey, load study and formal JMG bill of quantities are required before an investment or procurement decision.</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896"/>
        <w:sz w:val="15"/>
      </w:rPr>
      <w:t>JMG SOLAR COST ESTIMATION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B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8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3B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B6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jmglimited.com/solar" TargetMode="External"/><Relationship Id="rId13" Type="http://schemas.openxmlformats.org/officeDocument/2006/relationships/hyperlink" Target="https://www.jmglimited.com/post/hybrid-solar-powering-jmg-head-office" TargetMode="External"/><Relationship Id="rId14" Type="http://schemas.openxmlformats.org/officeDocument/2006/relationships/hyperlink" Target="https://www.jmglimited.com/post/jmg-solar-installs-hybrid-solar-power-system-for-st-catherine-specialist-hospital-in-abuja" TargetMode="External"/><Relationship Id="rId15" Type="http://schemas.openxmlformats.org/officeDocument/2006/relationships/hyperlink" Target="https://zit.ng/products/deye-50kw-hybrid-solar-inverter-50k-sg01hp3-e/" TargetMode="External"/><Relationship Id="rId16" Type="http://schemas.openxmlformats.org/officeDocument/2006/relationships/hyperlink" Target="https://fouanistore.com/shop?category_id=121&amp;category_name=deye&amp;page=1" TargetMode="External"/><Relationship Id="rId17" Type="http://schemas.openxmlformats.org/officeDocument/2006/relationships/hyperlink" Target="https://alabamart.com/products/longi-solar-panel-575w-monocrystalline-lo-163001" TargetMode="External"/><Relationship Id="rId18" Type="http://schemas.openxmlformats.org/officeDocument/2006/relationships/hyperlink" Target="https://www.irena.org/-/media/Files/IRENA/Agency/Publication/2026/Jul/IRENA_TEC_RPGC_2025_Executive_summary_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JMG Solar Cost Estimation Methodology: 1MW, 5MW and 10MW</dc:title>
  <dc:subject>Independent budgetary calculation methodology for JMG-style hybrid solar projects</dc:subject>
  <dc:creator>OpenAI</dc:creator>
  <cp:keywords>JMG, solar, 1MW, 5MW, 10MW, EPC, battery storage, Nigeria, cost estimate</cp:keywords>
  <dc:description>Budgetary estimate; not a JMG quotation.</dc:description>
  <cp:lastModifiedBy/>
  <cp:revision>1</cp:revision>
  <dcterms:created xsi:type="dcterms:W3CDTF">2013-12-23T23:15:00Z</dcterms:created>
  <dcterms:modified xsi:type="dcterms:W3CDTF">2013-12-23T23:15:00Z</dcterms:modified>
  <cp:category/>
</cp:coreProperties>
</file>